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E8E5F8">
      <w:pPr>
        <w:spacing w:before="120" w:after="120" w:line="360" w:lineRule="auto"/>
        <w:ind w:firstLine="1687"/>
        <w:jc w:val="left"/>
        <w:rPr>
          <w:rFonts w:ascii="Arial" w:hAnsi="Arial" w:eastAsia="黑体"/>
          <w:b/>
          <w:bCs/>
          <w:color w:val="000000" w:themeColor="text1"/>
          <w:sz w:val="84"/>
          <w:szCs w:val="24"/>
          <w:highlight w:val="none"/>
          <w14:textFill>
            <w14:solidFill>
              <w14:schemeClr w14:val="tx1"/>
            </w14:solidFill>
          </w14:textFill>
        </w:rPr>
      </w:pPr>
    </w:p>
    <w:p w14:paraId="3F5EF8B7">
      <w:pPr>
        <w:spacing w:before="120" w:after="120" w:line="360" w:lineRule="auto"/>
        <w:ind w:firstLine="1687"/>
        <w:jc w:val="center"/>
        <w:rPr>
          <w:rFonts w:hint="eastAsia" w:ascii="Arial" w:hAnsi="Arial" w:eastAsia="黑体"/>
          <w:b/>
          <w:bCs/>
          <w:color w:val="000000" w:themeColor="text1"/>
          <w:sz w:val="84"/>
          <w:szCs w:val="24"/>
          <w:highlight w:val="none"/>
          <w14:textFill>
            <w14:solidFill>
              <w14:schemeClr w14:val="tx1"/>
            </w14:solidFill>
          </w14:textFill>
        </w:rPr>
      </w:pPr>
    </w:p>
    <w:p w14:paraId="13651E3C">
      <w:pPr>
        <w:spacing w:before="120" w:after="120" w:line="360" w:lineRule="auto"/>
        <w:ind w:firstLine="1687"/>
        <w:jc w:val="center"/>
        <w:rPr>
          <w:rFonts w:ascii="Arial" w:hAnsi="Arial" w:eastAsia="黑体"/>
          <w:b/>
          <w:bCs/>
          <w:color w:val="000000" w:themeColor="text1"/>
          <w:sz w:val="84"/>
          <w:szCs w:val="24"/>
          <w:highlight w:val="none"/>
          <w14:textFill>
            <w14:solidFill>
              <w14:schemeClr w14:val="tx1"/>
            </w14:solidFill>
          </w14:textFill>
        </w:rPr>
      </w:pPr>
      <w:r>
        <w:rPr>
          <w:rFonts w:hint="eastAsia" w:ascii="Arial" w:hAnsi="Arial" w:eastAsia="黑体"/>
          <w:b/>
          <w:bCs/>
          <w:color w:val="000000" w:themeColor="text1"/>
          <w:sz w:val="84"/>
          <w:szCs w:val="24"/>
          <w:highlight w:val="none"/>
          <w14:textFill>
            <w14:solidFill>
              <w14:schemeClr w14:val="tx1"/>
            </w14:solidFill>
          </w14:textFill>
        </w:rPr>
        <w:t>招　标　文　件</w:t>
      </w:r>
    </w:p>
    <w:p w14:paraId="69ED9A2A">
      <w:pPr>
        <w:spacing w:before="120" w:after="120" w:line="360" w:lineRule="auto"/>
        <w:ind w:firstLine="643"/>
        <w:jc w:val="left"/>
        <w:rPr>
          <w:rFonts w:ascii="Arial" w:hAnsi="Arial"/>
          <w:b/>
          <w:bCs/>
          <w:color w:val="000000" w:themeColor="text1"/>
          <w:sz w:val="32"/>
          <w:szCs w:val="24"/>
          <w:highlight w:val="none"/>
          <w14:textFill>
            <w14:solidFill>
              <w14:schemeClr w14:val="tx1"/>
            </w14:solidFill>
          </w14:textFill>
        </w:rPr>
      </w:pPr>
    </w:p>
    <w:p w14:paraId="7D306611">
      <w:pPr>
        <w:spacing w:before="120" w:after="120" w:line="360" w:lineRule="auto"/>
        <w:ind w:firstLine="643"/>
        <w:jc w:val="left"/>
        <w:rPr>
          <w:rFonts w:ascii="Arial" w:hAnsi="Arial"/>
          <w:b/>
          <w:bCs/>
          <w:color w:val="000000" w:themeColor="text1"/>
          <w:sz w:val="32"/>
          <w:szCs w:val="24"/>
          <w:highlight w:val="none"/>
          <w14:textFill>
            <w14:solidFill>
              <w14:schemeClr w14:val="tx1"/>
            </w14:solidFill>
          </w14:textFill>
        </w:rPr>
      </w:pPr>
    </w:p>
    <w:p w14:paraId="70DFFFAD">
      <w:pPr>
        <w:spacing w:line="600" w:lineRule="exact"/>
        <w:ind w:firstLine="361"/>
        <w:jc w:val="left"/>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项目编号：</w:t>
      </w:r>
      <w:r>
        <w:rPr>
          <w:rFonts w:hint="eastAsia" w:asciiTheme="minorEastAsia" w:hAnsiTheme="minorEastAsia" w:eastAsiaTheme="minorEastAsia"/>
          <w:b/>
          <w:bCs/>
          <w:color w:val="000000" w:themeColor="text1"/>
          <w:sz w:val="36"/>
          <w:szCs w:val="24"/>
          <w:highlight w:val="none"/>
          <w:lang w:eastAsia="zh-CN"/>
          <w14:textFill>
            <w14:solidFill>
              <w14:schemeClr w14:val="tx1"/>
            </w14:solidFill>
          </w14:textFill>
        </w:rPr>
        <w:t>JSZC-320581-SZXY-G2025-0056</w:t>
      </w:r>
    </w:p>
    <w:p w14:paraId="4CE2F48A">
      <w:pPr>
        <w:spacing w:line="600" w:lineRule="exact"/>
        <w:ind w:firstLine="361"/>
        <w:rPr>
          <w:rFonts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项目名称：昆承湖幸福河湖建设信息化设备</w:t>
      </w:r>
    </w:p>
    <w:p w14:paraId="10428581">
      <w:pPr>
        <w:spacing w:line="600" w:lineRule="exact"/>
        <w:ind w:firstLine="361"/>
        <w:jc w:val="left"/>
        <w:rPr>
          <w:rFonts w:asciiTheme="minorEastAsia" w:hAnsiTheme="minorEastAsia" w:eastAsiaTheme="minorEastAsia"/>
          <w:b/>
          <w:bCs/>
          <w:color w:val="000000" w:themeColor="text1"/>
          <w:sz w:val="36"/>
          <w:szCs w:val="24"/>
          <w:highlight w:val="none"/>
          <w14:textFill>
            <w14:solidFill>
              <w14:schemeClr w14:val="tx1"/>
            </w14:solidFill>
          </w14:textFill>
        </w:rPr>
      </w:pPr>
      <w:r>
        <w:rPr>
          <w:rFonts w:hint="eastAsia" w:asciiTheme="minorEastAsia" w:hAnsiTheme="minorEastAsia" w:eastAsiaTheme="minorEastAsia"/>
          <w:b/>
          <w:bCs/>
          <w:color w:val="000000" w:themeColor="text1"/>
          <w:sz w:val="36"/>
          <w:szCs w:val="24"/>
          <w:highlight w:val="none"/>
          <w14:textFill>
            <w14:solidFill>
              <w14:schemeClr w14:val="tx1"/>
            </w14:solidFill>
          </w14:textFill>
        </w:rPr>
        <w:t>项目属性：货物类项目</w:t>
      </w:r>
    </w:p>
    <w:p w14:paraId="7ABF5DC0">
      <w:pPr>
        <w:ind w:left="2100" w:firstLine="480"/>
        <w:rPr>
          <w:rFonts w:hint="eastAsia" w:ascii="Times New Roman" w:hAnsi="Times New Roman"/>
          <w:color w:val="000000" w:themeColor="text1"/>
          <w:szCs w:val="21"/>
          <w:highlight w:val="none"/>
          <w14:textFill>
            <w14:solidFill>
              <w14:schemeClr w14:val="tx1"/>
            </w14:solidFill>
          </w14:textFill>
        </w:rPr>
      </w:pPr>
    </w:p>
    <w:p w14:paraId="019B181A">
      <w:pPr>
        <w:ind w:left="2100" w:firstLine="480"/>
        <w:rPr>
          <w:rFonts w:ascii="Times New Roman" w:hAnsi="Times New Roman"/>
          <w:b/>
          <w:color w:val="000000" w:themeColor="text1"/>
          <w:sz w:val="30"/>
          <w:szCs w:val="30"/>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b/>
          <w:color w:val="000000" w:themeColor="text1"/>
          <w:sz w:val="30"/>
          <w:szCs w:val="30"/>
          <w:highlight w:val="none"/>
          <w14:textFill>
            <w14:solidFill>
              <w14:schemeClr w14:val="tx1"/>
            </w14:solidFill>
          </w14:textFill>
        </w:rPr>
        <w:t xml:space="preserve">    </w:t>
      </w:r>
    </w:p>
    <w:p w14:paraId="59A810C4">
      <w:pPr>
        <w:spacing w:line="360" w:lineRule="auto"/>
        <w:jc w:val="left"/>
        <w:rPr>
          <w:rFonts w:ascii="宋体" w:hAnsi="宋体"/>
          <w:color w:val="000000" w:themeColor="text1"/>
          <w:sz w:val="24"/>
          <w:szCs w:val="24"/>
          <w:highlight w:val="none"/>
          <w14:textFill>
            <w14:solidFill>
              <w14:schemeClr w14:val="tx1"/>
            </w14:solidFill>
          </w14:textFill>
        </w:rPr>
      </w:pPr>
    </w:p>
    <w:p w14:paraId="55DFB94E">
      <w:pPr>
        <w:spacing w:line="360" w:lineRule="auto"/>
        <w:jc w:val="left"/>
        <w:rPr>
          <w:rFonts w:ascii="宋体" w:hAnsi="宋体"/>
          <w:color w:val="000000" w:themeColor="text1"/>
          <w:sz w:val="24"/>
          <w:szCs w:val="24"/>
          <w:highlight w:val="none"/>
          <w14:textFill>
            <w14:solidFill>
              <w14:schemeClr w14:val="tx1"/>
            </w14:solidFill>
          </w14:textFill>
        </w:rPr>
      </w:pPr>
    </w:p>
    <w:p w14:paraId="04062158">
      <w:pPr>
        <w:spacing w:line="360" w:lineRule="auto"/>
        <w:jc w:val="left"/>
        <w:rPr>
          <w:rFonts w:ascii="宋体" w:hAnsi="宋体"/>
          <w:color w:val="000000" w:themeColor="text1"/>
          <w:sz w:val="24"/>
          <w:szCs w:val="24"/>
          <w:highlight w:val="none"/>
          <w14:textFill>
            <w14:solidFill>
              <w14:schemeClr w14:val="tx1"/>
            </w14:solidFill>
          </w14:textFill>
        </w:rPr>
      </w:pPr>
    </w:p>
    <w:p w14:paraId="0EACFAD7">
      <w:pPr>
        <w:spacing w:line="360" w:lineRule="auto"/>
        <w:jc w:val="left"/>
        <w:rPr>
          <w:rFonts w:ascii="宋体" w:hAnsi="宋体"/>
          <w:color w:val="000000" w:themeColor="text1"/>
          <w:sz w:val="24"/>
          <w:szCs w:val="24"/>
          <w:highlight w:val="none"/>
          <w14:textFill>
            <w14:solidFill>
              <w14:schemeClr w14:val="tx1"/>
            </w14:solidFill>
          </w14:textFill>
        </w:rPr>
      </w:pPr>
    </w:p>
    <w:p w14:paraId="21600375">
      <w:pPr>
        <w:spacing w:line="360" w:lineRule="auto"/>
        <w:jc w:val="left"/>
        <w:rPr>
          <w:rFonts w:ascii="宋体" w:hAnsi="宋体"/>
          <w:color w:val="000000" w:themeColor="text1"/>
          <w:sz w:val="24"/>
          <w:szCs w:val="24"/>
          <w:highlight w:val="none"/>
          <w14:textFill>
            <w14:solidFill>
              <w14:schemeClr w14:val="tx1"/>
            </w14:solidFill>
          </w14:textFill>
        </w:rPr>
      </w:pPr>
    </w:p>
    <w:p w14:paraId="14F46610">
      <w:pPr>
        <w:rPr>
          <w:color w:val="000000" w:themeColor="text1"/>
          <w:highlight w:val="none"/>
          <w14:textFill>
            <w14:solidFill>
              <w14:schemeClr w14:val="tx1"/>
            </w14:solidFill>
          </w14:textFill>
        </w:rPr>
      </w:pPr>
    </w:p>
    <w:p w14:paraId="761988D4">
      <w:pPr>
        <w:spacing w:before="120" w:after="120" w:line="360" w:lineRule="auto"/>
        <w:jc w:val="center"/>
        <w:rPr>
          <w:rFonts w:hint="eastAsia" w:ascii="宋体" w:hAnsi="宋体"/>
          <w:b/>
          <w:bCs/>
          <w:color w:val="000000" w:themeColor="text1"/>
          <w:sz w:val="40"/>
          <w:szCs w:val="28"/>
          <w:highlight w:val="none"/>
          <w14:textFill>
            <w14:solidFill>
              <w14:schemeClr w14:val="tx1"/>
            </w14:solidFill>
          </w14:textFill>
        </w:rPr>
      </w:pPr>
    </w:p>
    <w:p w14:paraId="522F89AA">
      <w:pPr>
        <w:spacing w:before="120" w:after="120" w:line="360" w:lineRule="auto"/>
        <w:jc w:val="center"/>
        <w:rPr>
          <w:rFonts w:ascii="宋体" w:hAnsi="宋体"/>
          <w:b/>
          <w:bCs/>
          <w:color w:val="000000" w:themeColor="text1"/>
          <w:sz w:val="40"/>
          <w:szCs w:val="28"/>
          <w:highlight w:val="none"/>
          <w14:textFill>
            <w14:solidFill>
              <w14:schemeClr w14:val="tx1"/>
            </w14:solidFill>
          </w14:textFill>
        </w:rPr>
      </w:pPr>
      <w:r>
        <w:rPr>
          <w:rFonts w:hint="eastAsia" w:ascii="宋体" w:hAnsi="宋体"/>
          <w:b/>
          <w:bCs/>
          <w:color w:val="000000" w:themeColor="text1"/>
          <w:sz w:val="40"/>
          <w:szCs w:val="28"/>
          <w:highlight w:val="none"/>
          <w14:textFill>
            <w14:solidFill>
              <w14:schemeClr w14:val="tx1"/>
            </w14:solidFill>
          </w14:textFill>
        </w:rPr>
        <w:t>苏州新一造价师价格事务所有限公司</w:t>
      </w:r>
    </w:p>
    <w:p w14:paraId="04EB3D2E">
      <w:pPr>
        <w:spacing w:before="120" w:after="120" w:line="360" w:lineRule="auto"/>
        <w:jc w:val="center"/>
        <w:rPr>
          <w:rFonts w:ascii="宋体" w:hAnsi="宋体"/>
          <w:color w:val="000000" w:themeColor="text1"/>
          <w:sz w:val="32"/>
          <w:szCs w:val="28"/>
          <w:highlight w:val="none"/>
          <w14:textFill>
            <w14:solidFill>
              <w14:schemeClr w14:val="tx1"/>
            </w14:solidFill>
          </w14:textFill>
        </w:rPr>
      </w:pPr>
      <w:r>
        <w:rPr>
          <w:rFonts w:ascii="宋体" w:hAnsi="宋体"/>
          <w:b/>
          <w:bCs/>
          <w:color w:val="000000" w:themeColor="text1"/>
          <w:sz w:val="40"/>
          <w:szCs w:val="28"/>
          <w:highlight w:val="none"/>
          <w14:textFill>
            <w14:solidFill>
              <w14:schemeClr w14:val="tx1"/>
            </w14:solidFill>
          </w14:textFill>
        </w:rPr>
        <w:t>202</w:t>
      </w:r>
      <w:r>
        <w:rPr>
          <w:rFonts w:hint="eastAsia" w:ascii="宋体" w:hAnsi="宋体"/>
          <w:b/>
          <w:bCs/>
          <w:color w:val="000000" w:themeColor="text1"/>
          <w:sz w:val="40"/>
          <w:szCs w:val="28"/>
          <w:highlight w:val="none"/>
          <w14:textFill>
            <w14:solidFill>
              <w14:schemeClr w14:val="tx1"/>
            </w14:solidFill>
          </w14:textFill>
        </w:rPr>
        <w:t>5年</w:t>
      </w:r>
      <w:r>
        <w:rPr>
          <w:rFonts w:hint="eastAsia" w:ascii="宋体" w:hAnsi="宋体"/>
          <w:b/>
          <w:bCs/>
          <w:color w:val="000000" w:themeColor="text1"/>
          <w:sz w:val="40"/>
          <w:szCs w:val="28"/>
          <w:highlight w:val="none"/>
          <w:lang w:val="en-US" w:eastAsia="zh-CN"/>
          <w14:textFill>
            <w14:solidFill>
              <w14:schemeClr w14:val="tx1"/>
            </w14:solidFill>
          </w14:textFill>
        </w:rPr>
        <w:t>12</w:t>
      </w:r>
      <w:r>
        <w:rPr>
          <w:rFonts w:hint="eastAsia" w:ascii="宋体" w:hAnsi="宋体"/>
          <w:b/>
          <w:bCs/>
          <w:color w:val="000000" w:themeColor="text1"/>
          <w:sz w:val="40"/>
          <w:szCs w:val="28"/>
          <w:highlight w:val="none"/>
          <w14:textFill>
            <w14:solidFill>
              <w14:schemeClr w14:val="tx1"/>
            </w14:solidFill>
          </w14:textFill>
        </w:rPr>
        <w:t>月</w:t>
      </w:r>
      <w:r>
        <w:rPr>
          <w:rFonts w:hint="eastAsia" w:ascii="宋体" w:hAnsi="宋体"/>
          <w:b/>
          <w:bCs/>
          <w:color w:val="000000" w:themeColor="text1"/>
          <w:sz w:val="40"/>
          <w:szCs w:val="28"/>
          <w:highlight w:val="none"/>
          <w:lang w:val="en-US" w:eastAsia="zh-CN"/>
          <w14:textFill>
            <w14:solidFill>
              <w14:schemeClr w14:val="tx1"/>
            </w14:solidFill>
          </w14:textFill>
        </w:rPr>
        <w:t>4</w:t>
      </w:r>
      <w:r>
        <w:rPr>
          <w:rFonts w:hint="eastAsia" w:ascii="宋体" w:hAnsi="宋体"/>
          <w:b/>
          <w:bCs/>
          <w:color w:val="000000" w:themeColor="text1"/>
          <w:sz w:val="40"/>
          <w:szCs w:val="28"/>
          <w:highlight w:val="none"/>
          <w14:textFill>
            <w14:solidFill>
              <w14:schemeClr w14:val="tx1"/>
            </w14:solidFill>
          </w14:textFill>
        </w:rPr>
        <w:t>日</w:t>
      </w:r>
    </w:p>
    <w:p w14:paraId="60F95BD7">
      <w:pPr>
        <w:pStyle w:val="409"/>
        <w:ind w:firstLine="640"/>
        <w:jc w:val="center"/>
        <w:rPr>
          <w:b/>
          <w:bCs/>
          <w:color w:val="000000" w:themeColor="text1"/>
          <w:highlight w:val="none"/>
          <w:lang w:val="zh-CN"/>
          <w14:textFill>
            <w14:solidFill>
              <w14:schemeClr w14:val="tx1"/>
            </w14:solidFill>
          </w14:textFill>
        </w:rPr>
        <w:sectPr>
          <w:headerReference r:id="rId3" w:type="default"/>
          <w:footerReference r:id="rId4" w:type="default"/>
          <w:footerReference r:id="rId5" w:type="even"/>
          <w:pgSz w:w="11906" w:h="16838"/>
          <w:pgMar w:top="771" w:right="720" w:bottom="993" w:left="720" w:header="231" w:footer="452" w:gutter="0"/>
          <w:cols w:space="720" w:num="1"/>
          <w:titlePg/>
          <w:docGrid w:linePitch="360" w:charSpace="0"/>
        </w:sectPr>
      </w:pPr>
      <w:bookmarkStart w:id="0" w:name="_Toc120614210"/>
      <w:bookmarkStart w:id="1" w:name="_Toc523127445"/>
      <w:bookmarkStart w:id="2" w:name="_Toc513029200"/>
      <w:bookmarkStart w:id="3" w:name="_Toc479757206"/>
      <w:bookmarkStart w:id="4" w:name="_Toc16938516"/>
      <w:bookmarkStart w:id="5" w:name="_Toc20823272"/>
    </w:p>
    <w:p w14:paraId="0EEF218C">
      <w:pPr>
        <w:pStyle w:val="409"/>
        <w:ind w:firstLine="640"/>
        <w:jc w:val="center"/>
        <w:rPr>
          <w:b/>
          <w:bCs/>
          <w:color w:val="000000" w:themeColor="text1"/>
          <w:highlight w:val="none"/>
          <w14:textFill>
            <w14:solidFill>
              <w14:schemeClr w14:val="tx1"/>
            </w14:solidFill>
          </w14:textFill>
        </w:rPr>
      </w:pPr>
      <w:r>
        <w:rPr>
          <w:b/>
          <w:bCs/>
          <w:color w:val="000000" w:themeColor="text1"/>
          <w:highlight w:val="none"/>
          <w:lang w:val="zh-CN"/>
          <w14:textFill>
            <w14:solidFill>
              <w14:schemeClr w14:val="tx1"/>
            </w14:solidFill>
          </w14:textFill>
        </w:rPr>
        <w:t>目录</w:t>
      </w:r>
    </w:p>
    <w:p w14:paraId="36C5ECD6">
      <w:pPr>
        <w:pStyle w:val="30"/>
        <w:tabs>
          <w:tab w:val="right" w:leader="dot" w:pos="10466"/>
        </w:tabs>
      </w:pP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color w:val="000000" w:themeColor="text1"/>
          <w:highlight w:val="none"/>
          <w14:textFill>
            <w14:solidFill>
              <w14:schemeClr w14:val="tx1"/>
            </w14:solidFill>
          </w14:textFill>
        </w:rPr>
        <w:instrText xml:space="preserve"> TOC \o "1-3" \h \z \u </w:instrText>
      </w:r>
      <w:r>
        <w:rPr>
          <w:rFonts w:ascii="Times New Roman" w:hAnsi="Times New Roman"/>
          <w:color w:val="000000" w:themeColor="text1"/>
          <w:highlight w:val="none"/>
          <w14:textFill>
            <w14:solidFill>
              <w14:schemeClr w14:val="tx1"/>
            </w14:solidFill>
          </w14:textFill>
        </w:rPr>
        <w:fldChar w:fldCharType="separate"/>
      </w:r>
      <w:r>
        <w:rPr>
          <w:rFonts w:ascii="Times New Roman" w:hAnsi="Times New Roman"/>
          <w:color w:val="000000" w:themeColor="text1"/>
          <w:highlight w:val="none"/>
          <w14:textFill>
            <w14:solidFill>
              <w14:schemeClr w14:val="tx1"/>
            </w14:solidFill>
          </w14:textFill>
        </w:rPr>
        <w:fldChar w:fldCharType="begin"/>
      </w:r>
      <w:r>
        <w:rPr>
          <w:rFonts w:ascii="Times New Roman" w:hAnsi="Times New Roman"/>
          <w:highlight w:val="none"/>
        </w:rPr>
        <w:instrText xml:space="preserve"> HYPERLINK \l _Toc13698 </w:instrText>
      </w:r>
      <w:r>
        <w:rPr>
          <w:rFonts w:ascii="Times New Roman" w:hAnsi="Times New Roman"/>
          <w:highlight w:val="none"/>
        </w:rPr>
        <w:fldChar w:fldCharType="separate"/>
      </w:r>
      <w:r>
        <w:rPr>
          <w:rFonts w:hint="eastAsia" w:ascii="黑体" w:hAnsi="Times New Roman" w:eastAsia="黑体"/>
          <w:szCs w:val="44"/>
          <w:highlight w:val="none"/>
        </w:rPr>
        <w:t>第一章  投标邀请</w:t>
      </w:r>
      <w:r>
        <w:tab/>
      </w:r>
      <w:r>
        <w:fldChar w:fldCharType="begin"/>
      </w:r>
      <w:r>
        <w:instrText xml:space="preserve"> PAGEREF _Toc13698 \h </w:instrText>
      </w:r>
      <w:r>
        <w:fldChar w:fldCharType="separate"/>
      </w:r>
      <w:r>
        <w:t>1</w:t>
      </w:r>
      <w:r>
        <w:fldChar w:fldCharType="end"/>
      </w:r>
      <w:r>
        <w:rPr>
          <w:rFonts w:ascii="Times New Roman" w:hAnsi="Times New Roman"/>
          <w:color w:val="000000" w:themeColor="text1"/>
          <w:highlight w:val="none"/>
          <w14:textFill>
            <w14:solidFill>
              <w14:schemeClr w14:val="tx1"/>
            </w14:solidFill>
          </w14:textFill>
        </w:rPr>
        <w:fldChar w:fldCharType="end"/>
      </w:r>
    </w:p>
    <w:p w14:paraId="7035DFAC">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_Toc17096 </w:instrText>
      </w:r>
      <w:r>
        <w:rPr>
          <w:rFonts w:ascii="Times New Roman" w:hAnsi="Times New Roman"/>
          <w:caps/>
          <w:szCs w:val="24"/>
          <w:highlight w:val="none"/>
        </w:rPr>
        <w:fldChar w:fldCharType="separate"/>
      </w:r>
      <w:r>
        <w:rPr>
          <w:rFonts w:ascii="Times New Roman" w:hAnsi="Times New Roman"/>
          <w:bCs/>
          <w:szCs w:val="24"/>
          <w:highlight w:val="none"/>
        </w:rPr>
        <w:t>一、项目基本情况</w:t>
      </w:r>
      <w:r>
        <w:tab/>
      </w:r>
      <w:r>
        <w:fldChar w:fldCharType="begin"/>
      </w:r>
      <w:r>
        <w:instrText xml:space="preserve"> PAGEREF _Toc17096 \h </w:instrText>
      </w:r>
      <w:r>
        <w:fldChar w:fldCharType="separate"/>
      </w:r>
      <w:r>
        <w:t>1</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D9A81AB">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_Toc28375 </w:instrText>
      </w:r>
      <w:r>
        <w:rPr>
          <w:rFonts w:ascii="Times New Roman" w:hAnsi="Times New Roman"/>
          <w:caps/>
          <w:szCs w:val="24"/>
          <w:highlight w:val="none"/>
        </w:rPr>
        <w:fldChar w:fldCharType="separate"/>
      </w:r>
      <w:r>
        <w:rPr>
          <w:rFonts w:hint="eastAsia" w:ascii="Times New Roman" w:hAnsi="Times New Roman"/>
          <w:bCs/>
          <w:szCs w:val="24"/>
          <w:highlight w:val="none"/>
        </w:rPr>
        <w:t>二、申请人的资格要求</w:t>
      </w:r>
      <w:r>
        <w:tab/>
      </w:r>
      <w:r>
        <w:fldChar w:fldCharType="begin"/>
      </w:r>
      <w:r>
        <w:instrText xml:space="preserve"> PAGEREF _Toc28375 \h </w:instrText>
      </w:r>
      <w:r>
        <w:fldChar w:fldCharType="separate"/>
      </w:r>
      <w:r>
        <w:t>1</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BEC3610">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_Toc4347 </w:instrText>
      </w:r>
      <w:r>
        <w:rPr>
          <w:rFonts w:ascii="Times New Roman" w:hAnsi="Times New Roman"/>
          <w:caps/>
          <w:szCs w:val="24"/>
          <w:highlight w:val="none"/>
        </w:rPr>
        <w:fldChar w:fldCharType="separate"/>
      </w:r>
      <w:r>
        <w:rPr>
          <w:rFonts w:hint="eastAsia" w:ascii="Times New Roman" w:hAnsi="Times New Roman"/>
          <w:bCs/>
          <w:szCs w:val="24"/>
          <w:highlight w:val="none"/>
        </w:rPr>
        <w:t>三、获取招标文件</w:t>
      </w:r>
      <w:r>
        <w:tab/>
      </w:r>
      <w:r>
        <w:fldChar w:fldCharType="begin"/>
      </w:r>
      <w:r>
        <w:instrText xml:space="preserve"> PAGEREF _Toc4347 \h </w:instrText>
      </w:r>
      <w:r>
        <w:fldChar w:fldCharType="separate"/>
      </w:r>
      <w:r>
        <w:t>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80AB399">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_Toc4556 </w:instrText>
      </w:r>
      <w:r>
        <w:rPr>
          <w:rFonts w:ascii="Times New Roman" w:hAnsi="Times New Roman"/>
          <w:caps/>
          <w:szCs w:val="24"/>
          <w:highlight w:val="none"/>
        </w:rPr>
        <w:fldChar w:fldCharType="separate"/>
      </w:r>
      <w:r>
        <w:rPr>
          <w:rFonts w:hint="eastAsia" w:ascii="Times New Roman" w:hAnsi="Times New Roman"/>
          <w:bCs/>
          <w:szCs w:val="24"/>
          <w:highlight w:val="none"/>
        </w:rPr>
        <w:t>四、提交投标文件截止时间、开标</w:t>
      </w:r>
      <w:r>
        <w:rPr>
          <w:rFonts w:ascii="Times New Roman" w:hAnsi="Times New Roman"/>
          <w:bCs/>
          <w:szCs w:val="24"/>
          <w:highlight w:val="none"/>
        </w:rPr>
        <w:t>时间和地点</w:t>
      </w:r>
      <w:r>
        <w:tab/>
      </w:r>
      <w:r>
        <w:fldChar w:fldCharType="begin"/>
      </w:r>
      <w:r>
        <w:instrText xml:space="preserve"> PAGEREF _Toc4556 \h </w:instrText>
      </w:r>
      <w:r>
        <w:fldChar w:fldCharType="separate"/>
      </w:r>
      <w:r>
        <w:t>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598CCCD">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_Toc2831 </w:instrText>
      </w:r>
      <w:r>
        <w:rPr>
          <w:rFonts w:ascii="Times New Roman" w:hAnsi="Times New Roman"/>
          <w:caps/>
          <w:szCs w:val="24"/>
          <w:highlight w:val="none"/>
        </w:rPr>
        <w:fldChar w:fldCharType="separate"/>
      </w:r>
      <w:r>
        <w:rPr>
          <w:rFonts w:hint="eastAsia" w:ascii="Times New Roman" w:hAnsi="Times New Roman"/>
          <w:bCs/>
          <w:szCs w:val="24"/>
          <w:highlight w:val="none"/>
        </w:rPr>
        <w:t>五、</w:t>
      </w:r>
      <w:r>
        <w:rPr>
          <w:rFonts w:ascii="Times New Roman" w:hAnsi="Times New Roman"/>
          <w:bCs/>
          <w:szCs w:val="24"/>
          <w:highlight w:val="none"/>
        </w:rPr>
        <w:t>公告</w:t>
      </w:r>
      <w:r>
        <w:rPr>
          <w:rFonts w:hint="eastAsia" w:ascii="Times New Roman" w:hAnsi="Times New Roman"/>
          <w:bCs/>
          <w:szCs w:val="24"/>
          <w:highlight w:val="none"/>
        </w:rPr>
        <w:t>期限</w:t>
      </w:r>
      <w:r>
        <w:tab/>
      </w:r>
      <w:r>
        <w:fldChar w:fldCharType="begin"/>
      </w:r>
      <w:r>
        <w:instrText xml:space="preserve"> PAGEREF _Toc2831 \h </w:instrText>
      </w:r>
      <w:r>
        <w:fldChar w:fldCharType="separate"/>
      </w:r>
      <w:r>
        <w:t>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19C99CF">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_Toc22480 </w:instrText>
      </w:r>
      <w:r>
        <w:rPr>
          <w:rFonts w:ascii="Times New Roman" w:hAnsi="Times New Roman"/>
          <w:caps/>
          <w:szCs w:val="24"/>
          <w:highlight w:val="none"/>
        </w:rPr>
        <w:fldChar w:fldCharType="separate"/>
      </w:r>
      <w:r>
        <w:rPr>
          <w:rFonts w:hint="eastAsia" w:ascii="Times New Roman" w:hAnsi="Times New Roman"/>
          <w:bCs/>
          <w:szCs w:val="24"/>
          <w:highlight w:val="none"/>
        </w:rPr>
        <w:t>六、其他补充事宜</w:t>
      </w:r>
      <w:r>
        <w:tab/>
      </w:r>
      <w:r>
        <w:fldChar w:fldCharType="begin"/>
      </w:r>
      <w:r>
        <w:instrText xml:space="preserve"> PAGEREF _Toc22480 \h </w:instrText>
      </w:r>
      <w:r>
        <w:fldChar w:fldCharType="separate"/>
      </w:r>
      <w:r>
        <w:t>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F274AB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_Toc1247 </w:instrText>
      </w:r>
      <w:r>
        <w:rPr>
          <w:rFonts w:ascii="Times New Roman" w:hAnsi="Times New Roman"/>
          <w:caps/>
          <w:szCs w:val="24"/>
          <w:highlight w:val="none"/>
        </w:rPr>
        <w:fldChar w:fldCharType="separate"/>
      </w:r>
      <w:r>
        <w:rPr>
          <w:rFonts w:hint="eastAsia" w:ascii="Times New Roman" w:hAnsi="Times New Roman"/>
          <w:bCs/>
          <w:szCs w:val="24"/>
          <w:highlight w:val="none"/>
        </w:rPr>
        <w:t>七、本次招标联系方式</w:t>
      </w:r>
      <w:r>
        <w:tab/>
      </w:r>
      <w:r>
        <w:fldChar w:fldCharType="begin"/>
      </w:r>
      <w:r>
        <w:instrText xml:space="preserve"> PAGEREF _Toc1247 \h </w:instrText>
      </w:r>
      <w:r>
        <w:fldChar w:fldCharType="separate"/>
      </w:r>
      <w:r>
        <w:t>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018D025">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_Toc19697 </w:instrText>
      </w:r>
      <w:r>
        <w:rPr>
          <w:rFonts w:ascii="Times New Roman" w:hAnsi="Times New Roman"/>
          <w:caps/>
          <w:szCs w:val="24"/>
          <w:highlight w:val="none"/>
        </w:rPr>
        <w:fldChar w:fldCharType="separate"/>
      </w:r>
      <w:r>
        <w:rPr>
          <w:rFonts w:hint="eastAsia" w:ascii="黑体" w:hAnsi="Times New Roman" w:eastAsia="黑体"/>
          <w:szCs w:val="44"/>
          <w:highlight w:val="none"/>
        </w:rPr>
        <w:t>第二章  投标人须知</w:t>
      </w:r>
      <w:r>
        <w:tab/>
      </w:r>
      <w:r>
        <w:fldChar w:fldCharType="begin"/>
      </w:r>
      <w:r>
        <w:instrText xml:space="preserve"> PAGEREF _Toc19697 \h </w:instrText>
      </w:r>
      <w:r>
        <w:fldChar w:fldCharType="separate"/>
      </w:r>
      <w:r>
        <w:t>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B1031B9">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_Toc11119 </w:instrText>
      </w:r>
      <w:r>
        <w:rPr>
          <w:rFonts w:ascii="Times New Roman" w:hAnsi="Times New Roman"/>
          <w:caps/>
          <w:szCs w:val="24"/>
          <w:highlight w:val="none"/>
        </w:rPr>
        <w:fldChar w:fldCharType="separate"/>
      </w:r>
      <w:r>
        <w:rPr>
          <w:rFonts w:hint="eastAsia" w:ascii="宋体" w:hAnsi="宋体" w:cs="宋体"/>
          <w:bCs/>
          <w:szCs w:val="28"/>
          <w:highlight w:val="none"/>
        </w:rPr>
        <w:t>一、总则</w:t>
      </w:r>
      <w:r>
        <w:tab/>
      </w:r>
      <w:r>
        <w:fldChar w:fldCharType="begin"/>
      </w:r>
      <w:r>
        <w:instrText xml:space="preserve"> PAGEREF _Toc11119 \h </w:instrText>
      </w:r>
      <w:r>
        <w:fldChar w:fldCharType="separate"/>
      </w:r>
      <w:r>
        <w:t>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AE5B17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_Toc16007 </w:instrText>
      </w:r>
      <w:r>
        <w:rPr>
          <w:rFonts w:ascii="Times New Roman" w:hAnsi="Times New Roman"/>
          <w:caps/>
          <w:szCs w:val="24"/>
          <w:highlight w:val="none"/>
        </w:rPr>
        <w:fldChar w:fldCharType="separate"/>
      </w:r>
      <w:r>
        <w:rPr>
          <w:rFonts w:hint="eastAsia" w:ascii="宋体" w:hAnsi="宋体" w:cs="宋体"/>
          <w:bCs/>
          <w:szCs w:val="28"/>
          <w:highlight w:val="none"/>
        </w:rPr>
        <w:t>二、招标文件</w:t>
      </w:r>
      <w:r>
        <w:tab/>
      </w:r>
      <w:r>
        <w:fldChar w:fldCharType="begin"/>
      </w:r>
      <w:r>
        <w:instrText xml:space="preserve"> PAGEREF _Toc16007 \h </w:instrText>
      </w:r>
      <w:r>
        <w:fldChar w:fldCharType="separate"/>
      </w:r>
      <w:r>
        <w:t>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8D6554F">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_Toc16762 </w:instrText>
      </w:r>
      <w:r>
        <w:rPr>
          <w:rFonts w:ascii="Times New Roman" w:hAnsi="Times New Roman"/>
          <w:caps/>
          <w:szCs w:val="24"/>
          <w:highlight w:val="none"/>
        </w:rPr>
        <w:fldChar w:fldCharType="separate"/>
      </w:r>
      <w:r>
        <w:rPr>
          <w:rFonts w:hint="eastAsia" w:ascii="宋体" w:hAnsi="宋体" w:cs="宋体"/>
          <w:bCs/>
          <w:szCs w:val="28"/>
          <w:highlight w:val="none"/>
        </w:rPr>
        <w:t>三、投标文件的编制</w:t>
      </w:r>
      <w:r>
        <w:tab/>
      </w:r>
      <w:r>
        <w:fldChar w:fldCharType="begin"/>
      </w:r>
      <w:r>
        <w:instrText xml:space="preserve"> PAGEREF _Toc16762 \h </w:instrText>
      </w:r>
      <w:r>
        <w:fldChar w:fldCharType="separate"/>
      </w:r>
      <w:r>
        <w:t>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BB67E45">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_Toc27676 </w:instrText>
      </w:r>
      <w:r>
        <w:rPr>
          <w:rFonts w:ascii="Times New Roman" w:hAnsi="Times New Roman"/>
          <w:caps/>
          <w:szCs w:val="24"/>
          <w:highlight w:val="none"/>
        </w:rPr>
        <w:fldChar w:fldCharType="separate"/>
      </w:r>
      <w:r>
        <w:rPr>
          <w:rFonts w:hint="eastAsia" w:ascii="宋体" w:hAnsi="宋体" w:cs="宋体"/>
          <w:bCs/>
          <w:szCs w:val="28"/>
          <w:highlight w:val="none"/>
        </w:rPr>
        <w:t>四、投标文件的递交</w:t>
      </w:r>
      <w:r>
        <w:tab/>
      </w:r>
      <w:r>
        <w:fldChar w:fldCharType="begin"/>
      </w:r>
      <w:r>
        <w:instrText xml:space="preserve"> PAGEREF _Toc27676 \h </w:instrText>
      </w:r>
      <w:r>
        <w:fldChar w:fldCharType="separate"/>
      </w:r>
      <w:r>
        <w:t>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BCCC74C">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_Toc22837 </w:instrText>
      </w:r>
      <w:r>
        <w:rPr>
          <w:rFonts w:ascii="Times New Roman" w:hAnsi="Times New Roman"/>
          <w:caps/>
          <w:szCs w:val="24"/>
          <w:highlight w:val="none"/>
        </w:rPr>
        <w:fldChar w:fldCharType="separate"/>
      </w:r>
      <w:r>
        <w:rPr>
          <w:rFonts w:hint="eastAsia" w:ascii="宋体" w:hAnsi="宋体" w:cs="宋体"/>
          <w:bCs/>
          <w:szCs w:val="28"/>
          <w:highlight w:val="none"/>
        </w:rPr>
        <w:t>五、开标与评标</w:t>
      </w:r>
      <w:r>
        <w:tab/>
      </w:r>
      <w:r>
        <w:fldChar w:fldCharType="begin"/>
      </w:r>
      <w:r>
        <w:instrText xml:space="preserve"> PAGEREF _Toc22837 \h </w:instrText>
      </w:r>
      <w:r>
        <w:fldChar w:fldCharType="separate"/>
      </w:r>
      <w:r>
        <w:t>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699CCB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_Toc29854 </w:instrText>
      </w:r>
      <w:r>
        <w:rPr>
          <w:rFonts w:ascii="Times New Roman" w:hAnsi="Times New Roman"/>
          <w:caps/>
          <w:szCs w:val="24"/>
          <w:highlight w:val="none"/>
        </w:rPr>
        <w:fldChar w:fldCharType="separate"/>
      </w:r>
      <w:r>
        <w:rPr>
          <w:rFonts w:hint="eastAsia" w:ascii="宋体" w:hAnsi="宋体" w:cs="宋体"/>
          <w:bCs/>
          <w:szCs w:val="28"/>
          <w:highlight w:val="none"/>
        </w:rPr>
        <w:t>六、定标</w:t>
      </w:r>
      <w:r>
        <w:tab/>
      </w:r>
      <w:r>
        <w:fldChar w:fldCharType="begin"/>
      </w:r>
      <w:r>
        <w:instrText xml:space="preserve"> PAGEREF _Toc29854 \h </w:instrText>
      </w:r>
      <w:r>
        <w:fldChar w:fldCharType="separate"/>
      </w:r>
      <w:r>
        <w:t>10</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29E965F">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_Toc15669 </w:instrText>
      </w:r>
      <w:r>
        <w:rPr>
          <w:rFonts w:ascii="Times New Roman" w:hAnsi="Times New Roman"/>
          <w:caps/>
          <w:szCs w:val="24"/>
          <w:highlight w:val="none"/>
        </w:rPr>
        <w:fldChar w:fldCharType="separate"/>
      </w:r>
      <w:r>
        <w:rPr>
          <w:rFonts w:hint="eastAsia" w:ascii="宋体" w:hAnsi="宋体" w:cs="宋体"/>
          <w:bCs/>
          <w:szCs w:val="28"/>
          <w:highlight w:val="none"/>
        </w:rPr>
        <w:t>七、授予合同</w:t>
      </w:r>
      <w:r>
        <w:tab/>
      </w:r>
      <w:r>
        <w:fldChar w:fldCharType="begin"/>
      </w:r>
      <w:r>
        <w:instrText xml:space="preserve"> PAGEREF _Toc15669 \h </w:instrText>
      </w:r>
      <w:r>
        <w:fldChar w:fldCharType="separate"/>
      </w:r>
      <w:r>
        <w:t>12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464977F">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_Toc2596 </w:instrText>
      </w:r>
      <w:r>
        <w:rPr>
          <w:rFonts w:ascii="Times New Roman" w:hAnsi="Times New Roman"/>
          <w:caps/>
          <w:szCs w:val="24"/>
          <w:highlight w:val="none"/>
        </w:rPr>
        <w:fldChar w:fldCharType="separate"/>
      </w:r>
      <w:r>
        <w:rPr>
          <w:rFonts w:hint="eastAsia" w:ascii="黑体" w:hAnsi="Times New Roman" w:eastAsia="黑体"/>
          <w:bCs/>
          <w:szCs w:val="28"/>
          <w:highlight w:val="none"/>
        </w:rPr>
        <w:t>第三章  合同文本</w:t>
      </w:r>
      <w:r>
        <w:tab/>
      </w:r>
      <w:r>
        <w:fldChar w:fldCharType="begin"/>
      </w:r>
      <w:r>
        <w:instrText xml:space="preserve"> PAGEREF _Toc2596 \h </w:instrText>
      </w:r>
      <w:r>
        <w:fldChar w:fldCharType="separate"/>
      </w:r>
      <w:r>
        <w:t>14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60BF528">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_Toc2476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 xml:space="preserve">第四章 </w:t>
      </w:r>
      <w:r>
        <w:rPr>
          <w:rFonts w:ascii="黑体" w:hAnsi="Courier New" w:eastAsia="黑体" w:cs="Courier New"/>
          <w:bCs/>
          <w:szCs w:val="21"/>
          <w:highlight w:val="none"/>
        </w:rPr>
        <w:t xml:space="preserve"> </w:t>
      </w:r>
      <w:r>
        <w:rPr>
          <w:rFonts w:hint="eastAsia" w:ascii="黑体" w:hAnsi="Courier New" w:eastAsia="黑体" w:cs="Courier New"/>
          <w:bCs/>
          <w:szCs w:val="21"/>
          <w:highlight w:val="none"/>
        </w:rPr>
        <w:t>采购需求</w:t>
      </w:r>
      <w:r>
        <w:tab/>
      </w:r>
      <w:r>
        <w:fldChar w:fldCharType="begin"/>
      </w:r>
      <w:r>
        <w:instrText xml:space="preserve"> PAGEREF _Toc2476 \h </w:instrText>
      </w:r>
      <w:r>
        <w:fldChar w:fldCharType="separate"/>
      </w:r>
      <w:r>
        <w:t>22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76B3BB4">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_Toc2247 </w:instrText>
      </w:r>
      <w:r>
        <w:rPr>
          <w:rFonts w:ascii="Times New Roman" w:hAnsi="Times New Roman"/>
          <w:caps/>
          <w:szCs w:val="24"/>
          <w:highlight w:val="none"/>
        </w:rPr>
        <w:fldChar w:fldCharType="separate"/>
      </w:r>
      <w:r>
        <w:rPr>
          <w:rFonts w:hint="eastAsia" w:ascii="宋体" w:hAnsi="宋体"/>
          <w:szCs w:val="48"/>
          <w:highlight w:val="none"/>
        </w:rPr>
        <w:t>水位雨量站</w:t>
      </w:r>
      <w:r>
        <w:tab/>
      </w:r>
      <w:r>
        <w:fldChar w:fldCharType="begin"/>
      </w:r>
      <w:r>
        <w:instrText xml:space="preserve"> PAGEREF _Toc2247 \h </w:instrText>
      </w:r>
      <w:r>
        <w:fldChar w:fldCharType="separate"/>
      </w:r>
      <w:r>
        <w:t>24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C0F7965">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_Toc16462 </w:instrText>
      </w:r>
      <w:r>
        <w:rPr>
          <w:rFonts w:ascii="Times New Roman" w:hAnsi="Times New Roman"/>
          <w:caps/>
          <w:szCs w:val="24"/>
          <w:highlight w:val="none"/>
        </w:rPr>
        <w:fldChar w:fldCharType="separate"/>
      </w:r>
      <w:r>
        <w:rPr>
          <w:rFonts w:hint="eastAsia" w:ascii="宋体" w:hAnsi="宋体" w:cs="宋体"/>
          <w:bCs/>
          <w:szCs w:val="32"/>
          <w:highlight w:val="none"/>
        </w:rPr>
        <w:t>一、雷达水位计</w:t>
      </w:r>
      <w:r>
        <w:tab/>
      </w:r>
      <w:r>
        <w:fldChar w:fldCharType="begin"/>
      </w:r>
      <w:r>
        <w:instrText xml:space="preserve"> PAGEREF _Toc16462 \h </w:instrText>
      </w:r>
      <w:r>
        <w:fldChar w:fldCharType="separate"/>
      </w:r>
      <w:r>
        <w:t>24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837BD7E">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_Toc12641 </w:instrText>
      </w:r>
      <w:r>
        <w:rPr>
          <w:rFonts w:ascii="Times New Roman" w:hAnsi="Times New Roman"/>
          <w:caps/>
          <w:szCs w:val="24"/>
          <w:highlight w:val="none"/>
        </w:rPr>
        <w:fldChar w:fldCharType="separate"/>
      </w:r>
      <w:r>
        <w:rPr>
          <w:rFonts w:hint="eastAsia" w:ascii="宋体" w:hAnsi="宋体" w:cs="宋体"/>
          <w:bCs/>
          <w:szCs w:val="32"/>
          <w:highlight w:val="none"/>
        </w:rPr>
        <w:t>二、智能雨量测量仪</w:t>
      </w:r>
      <w:r>
        <w:tab/>
      </w:r>
      <w:r>
        <w:fldChar w:fldCharType="begin"/>
      </w:r>
      <w:r>
        <w:instrText xml:space="preserve"> PAGEREF _Toc12641 \h </w:instrText>
      </w:r>
      <w:r>
        <w:fldChar w:fldCharType="separate"/>
      </w:r>
      <w:r>
        <w:t>24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71FCAF7">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_Toc13471 </w:instrText>
      </w:r>
      <w:r>
        <w:rPr>
          <w:rFonts w:ascii="Times New Roman" w:hAnsi="Times New Roman"/>
          <w:caps/>
          <w:szCs w:val="24"/>
          <w:highlight w:val="none"/>
        </w:rPr>
        <w:fldChar w:fldCharType="separate"/>
      </w:r>
      <w:r>
        <w:rPr>
          <w:rFonts w:hint="eastAsia" w:ascii="宋体" w:hAnsi="宋体" w:cs="宋体"/>
          <w:bCs/>
          <w:szCs w:val="32"/>
          <w:highlight w:val="none"/>
        </w:rPr>
        <w:t>三、RTU</w:t>
      </w:r>
      <w:r>
        <w:tab/>
      </w:r>
      <w:r>
        <w:fldChar w:fldCharType="begin"/>
      </w:r>
      <w:r>
        <w:instrText xml:space="preserve"> PAGEREF _Toc13471 \h </w:instrText>
      </w:r>
      <w:r>
        <w:fldChar w:fldCharType="separate"/>
      </w:r>
      <w:r>
        <w:t>24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AF7E3B7">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_Toc3892 </w:instrText>
      </w:r>
      <w:r>
        <w:rPr>
          <w:rFonts w:ascii="Times New Roman" w:hAnsi="Times New Roman"/>
          <w:caps/>
          <w:szCs w:val="24"/>
          <w:highlight w:val="none"/>
        </w:rPr>
        <w:fldChar w:fldCharType="separate"/>
      </w:r>
      <w:r>
        <w:rPr>
          <w:rFonts w:hint="eastAsia" w:ascii="宋体" w:hAnsi="宋体" w:cs="宋体"/>
          <w:bCs/>
          <w:szCs w:val="32"/>
          <w:highlight w:val="none"/>
        </w:rPr>
        <w:t>四、蓄电池</w:t>
      </w:r>
      <w:r>
        <w:tab/>
      </w:r>
      <w:r>
        <w:fldChar w:fldCharType="begin"/>
      </w:r>
      <w:r>
        <w:instrText xml:space="preserve"> PAGEREF _Toc3892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230EEA9">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_Toc23419 </w:instrText>
      </w:r>
      <w:r>
        <w:rPr>
          <w:rFonts w:ascii="Times New Roman" w:hAnsi="Times New Roman"/>
          <w:caps/>
          <w:szCs w:val="24"/>
          <w:highlight w:val="none"/>
        </w:rPr>
        <w:fldChar w:fldCharType="separate"/>
      </w:r>
      <w:r>
        <w:rPr>
          <w:rFonts w:hint="eastAsia" w:ascii="宋体" w:hAnsi="宋体" w:cs="宋体"/>
          <w:bCs/>
          <w:szCs w:val="32"/>
          <w:highlight w:val="none"/>
        </w:rPr>
        <w:t>五、充电控制器</w:t>
      </w:r>
      <w:r>
        <w:tab/>
      </w:r>
      <w:r>
        <w:fldChar w:fldCharType="begin"/>
      </w:r>
      <w:r>
        <w:instrText xml:space="preserve"> PAGEREF _Toc23419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C209EA7">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_Toc1983 </w:instrText>
      </w:r>
      <w:r>
        <w:rPr>
          <w:rFonts w:ascii="Times New Roman" w:hAnsi="Times New Roman"/>
          <w:caps/>
          <w:szCs w:val="24"/>
          <w:highlight w:val="none"/>
        </w:rPr>
        <w:fldChar w:fldCharType="separate"/>
      </w:r>
      <w:r>
        <w:rPr>
          <w:rFonts w:hint="eastAsia" w:ascii="宋体" w:hAnsi="宋体" w:cs="宋体"/>
          <w:bCs/>
          <w:szCs w:val="32"/>
          <w:highlight w:val="none"/>
        </w:rPr>
        <w:t>六、太阳能板</w:t>
      </w:r>
      <w:r>
        <w:tab/>
      </w:r>
      <w:r>
        <w:fldChar w:fldCharType="begin"/>
      </w:r>
      <w:r>
        <w:instrText xml:space="preserve"> PAGEREF _Toc1983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9B01A3B">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_Toc8217 </w:instrText>
      </w:r>
      <w:r>
        <w:rPr>
          <w:rFonts w:ascii="Times New Roman" w:hAnsi="Times New Roman"/>
          <w:caps/>
          <w:szCs w:val="24"/>
          <w:highlight w:val="none"/>
        </w:rPr>
        <w:fldChar w:fldCharType="separate"/>
      </w:r>
      <w:r>
        <w:rPr>
          <w:rFonts w:hint="eastAsia" w:ascii="宋体" w:hAnsi="宋体" w:cs="宋体"/>
          <w:bCs/>
          <w:szCs w:val="32"/>
          <w:highlight w:val="none"/>
        </w:rPr>
        <w:t>七、设备箱</w:t>
      </w:r>
      <w:r>
        <w:tab/>
      </w:r>
      <w:r>
        <w:fldChar w:fldCharType="begin"/>
      </w:r>
      <w:r>
        <w:instrText xml:space="preserve"> PAGEREF _Toc8217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9919C60">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_Toc20047 </w:instrText>
      </w:r>
      <w:r>
        <w:rPr>
          <w:rFonts w:ascii="Times New Roman" w:hAnsi="Times New Roman"/>
          <w:caps/>
          <w:szCs w:val="24"/>
          <w:highlight w:val="none"/>
        </w:rPr>
        <w:fldChar w:fldCharType="separate"/>
      </w:r>
      <w:r>
        <w:rPr>
          <w:rFonts w:hint="eastAsia" w:ascii="宋体" w:hAnsi="宋体" w:cs="宋体"/>
          <w:bCs/>
          <w:szCs w:val="32"/>
          <w:highlight w:val="none"/>
        </w:rPr>
        <w:t>八、立杆及支架</w:t>
      </w:r>
      <w:r>
        <w:tab/>
      </w:r>
      <w:r>
        <w:fldChar w:fldCharType="begin"/>
      </w:r>
      <w:r>
        <w:instrText xml:space="preserve"> PAGEREF _Toc20047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57381B5">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_Toc12753 </w:instrText>
      </w:r>
      <w:r>
        <w:rPr>
          <w:rFonts w:ascii="Times New Roman" w:hAnsi="Times New Roman"/>
          <w:caps/>
          <w:szCs w:val="24"/>
          <w:highlight w:val="none"/>
        </w:rPr>
        <w:fldChar w:fldCharType="separate"/>
      </w:r>
      <w:r>
        <w:rPr>
          <w:rFonts w:hint="eastAsia" w:ascii="宋体" w:hAnsi="宋体" w:cs="宋体"/>
          <w:bCs/>
          <w:szCs w:val="32"/>
          <w:highlight w:val="none"/>
        </w:rPr>
        <w:t>九、水尺</w:t>
      </w:r>
      <w:r>
        <w:tab/>
      </w:r>
      <w:r>
        <w:fldChar w:fldCharType="begin"/>
      </w:r>
      <w:r>
        <w:instrText xml:space="preserve"> PAGEREF _Toc12753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E2B0375">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_Toc272 </w:instrText>
      </w:r>
      <w:r>
        <w:rPr>
          <w:rFonts w:ascii="Times New Roman" w:hAnsi="Times New Roman"/>
          <w:caps/>
          <w:szCs w:val="24"/>
          <w:highlight w:val="none"/>
        </w:rPr>
        <w:fldChar w:fldCharType="separate"/>
      </w:r>
      <w:r>
        <w:rPr>
          <w:rFonts w:hint="eastAsia" w:ascii="宋体" w:hAnsi="宋体" w:cs="宋体"/>
          <w:szCs w:val="48"/>
          <w:highlight w:val="none"/>
        </w:rPr>
        <w:t>流量站</w:t>
      </w:r>
      <w:r>
        <w:tab/>
      </w:r>
      <w:r>
        <w:fldChar w:fldCharType="begin"/>
      </w:r>
      <w:r>
        <w:instrText xml:space="preserve"> PAGEREF _Toc272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9BE820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_Toc6511 </w:instrText>
      </w:r>
      <w:r>
        <w:rPr>
          <w:rFonts w:ascii="Times New Roman" w:hAnsi="Times New Roman"/>
          <w:caps/>
          <w:szCs w:val="24"/>
          <w:highlight w:val="none"/>
        </w:rPr>
        <w:fldChar w:fldCharType="separate"/>
      </w:r>
      <w:r>
        <w:rPr>
          <w:rFonts w:ascii="宋体" w:hAnsi="宋体" w:cs="宋体"/>
          <w:bCs/>
          <w:szCs w:val="32"/>
        </w:rPr>
        <w:t xml:space="preserve">一、 </w:t>
      </w:r>
      <w:r>
        <w:rPr>
          <w:rFonts w:hint="eastAsia" w:ascii="宋体" w:hAnsi="宋体" w:cs="宋体"/>
          <w:bCs/>
          <w:szCs w:val="32"/>
          <w:highlight w:val="none"/>
        </w:rPr>
        <w:t>H-ADCP</w:t>
      </w:r>
      <w:r>
        <w:tab/>
      </w:r>
      <w:r>
        <w:fldChar w:fldCharType="begin"/>
      </w:r>
      <w:r>
        <w:instrText xml:space="preserve"> PAGEREF _Toc6511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3B1A02A">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_Toc9130 </w:instrText>
      </w:r>
      <w:r>
        <w:rPr>
          <w:rFonts w:ascii="Times New Roman" w:hAnsi="Times New Roman"/>
          <w:caps/>
          <w:szCs w:val="24"/>
          <w:highlight w:val="none"/>
        </w:rPr>
        <w:fldChar w:fldCharType="separate"/>
      </w:r>
      <w:r>
        <w:rPr>
          <w:rFonts w:ascii="宋体" w:hAnsi="宋体" w:cs="宋体"/>
          <w:bCs/>
          <w:szCs w:val="32"/>
        </w:rPr>
        <w:t xml:space="preserve">二、 </w:t>
      </w:r>
      <w:r>
        <w:rPr>
          <w:rFonts w:hint="eastAsia" w:ascii="宋体" w:hAnsi="宋体" w:cs="宋体"/>
          <w:bCs/>
          <w:szCs w:val="32"/>
          <w:highlight w:val="none"/>
        </w:rPr>
        <w:t>雷达水位计</w:t>
      </w:r>
      <w:r>
        <w:tab/>
      </w:r>
      <w:r>
        <w:fldChar w:fldCharType="begin"/>
      </w:r>
      <w:r>
        <w:instrText xml:space="preserve"> PAGEREF _Toc9130 \h </w:instrText>
      </w:r>
      <w:r>
        <w:fldChar w:fldCharType="separate"/>
      </w:r>
      <w:r>
        <w:t>25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4E6F4C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_Toc6627 </w:instrText>
      </w:r>
      <w:r>
        <w:rPr>
          <w:rFonts w:ascii="Times New Roman" w:hAnsi="Times New Roman"/>
          <w:caps/>
          <w:szCs w:val="24"/>
          <w:highlight w:val="none"/>
        </w:rPr>
        <w:fldChar w:fldCharType="separate"/>
      </w:r>
      <w:r>
        <w:rPr>
          <w:rFonts w:hint="eastAsia" w:ascii="宋体" w:hAnsi="宋体" w:cs="宋体"/>
          <w:bCs/>
          <w:szCs w:val="32"/>
          <w:highlight w:val="none"/>
        </w:rPr>
        <w:t>三、遥测终端机</w:t>
      </w:r>
      <w:r>
        <w:tab/>
      </w:r>
      <w:r>
        <w:fldChar w:fldCharType="begin"/>
      </w:r>
      <w:r>
        <w:instrText xml:space="preserve"> PAGEREF _Toc6627 \h </w:instrText>
      </w:r>
      <w:r>
        <w:fldChar w:fldCharType="separate"/>
      </w:r>
      <w:r>
        <w:t>26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F0526AC">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_Toc2983 </w:instrText>
      </w:r>
      <w:r>
        <w:rPr>
          <w:rFonts w:ascii="Times New Roman" w:hAnsi="Times New Roman"/>
          <w:caps/>
          <w:szCs w:val="24"/>
          <w:highlight w:val="none"/>
        </w:rPr>
        <w:fldChar w:fldCharType="separate"/>
      </w:r>
      <w:r>
        <w:rPr>
          <w:rFonts w:hint="eastAsia" w:ascii="宋体" w:hAnsi="宋体" w:cs="宋体"/>
          <w:bCs/>
          <w:szCs w:val="32"/>
          <w:highlight w:val="none"/>
        </w:rPr>
        <w:t>四、蓄电池</w:t>
      </w:r>
      <w:r>
        <w:tab/>
      </w:r>
      <w:r>
        <w:fldChar w:fldCharType="begin"/>
      </w:r>
      <w:r>
        <w:instrText xml:space="preserve"> PAGEREF _Toc2983 \h </w:instrText>
      </w:r>
      <w:r>
        <w:fldChar w:fldCharType="separate"/>
      </w:r>
      <w:r>
        <w:t>26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472926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_Toc16256 </w:instrText>
      </w:r>
      <w:r>
        <w:rPr>
          <w:rFonts w:ascii="Times New Roman" w:hAnsi="Times New Roman"/>
          <w:caps/>
          <w:szCs w:val="24"/>
          <w:highlight w:val="none"/>
        </w:rPr>
        <w:fldChar w:fldCharType="separate"/>
      </w:r>
      <w:r>
        <w:rPr>
          <w:rFonts w:hint="eastAsia" w:ascii="宋体" w:hAnsi="宋体" w:cs="宋体"/>
          <w:bCs/>
          <w:szCs w:val="32"/>
          <w:highlight w:val="none"/>
        </w:rPr>
        <w:t>五、太阳能板</w:t>
      </w:r>
      <w:r>
        <w:tab/>
      </w:r>
      <w:r>
        <w:fldChar w:fldCharType="begin"/>
      </w:r>
      <w:r>
        <w:instrText xml:space="preserve"> PAGEREF _Toc16256 \h </w:instrText>
      </w:r>
      <w:r>
        <w:fldChar w:fldCharType="separate"/>
      </w:r>
      <w:r>
        <w:t>26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DCC5637">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_Toc13625 </w:instrText>
      </w:r>
      <w:r>
        <w:rPr>
          <w:rFonts w:ascii="Times New Roman" w:hAnsi="Times New Roman"/>
          <w:caps/>
          <w:szCs w:val="24"/>
          <w:highlight w:val="none"/>
        </w:rPr>
        <w:fldChar w:fldCharType="separate"/>
      </w:r>
      <w:r>
        <w:rPr>
          <w:rFonts w:hint="eastAsia" w:ascii="宋体" w:hAnsi="宋体" w:cs="宋体"/>
          <w:bCs/>
          <w:szCs w:val="32"/>
          <w:highlight w:val="none"/>
        </w:rPr>
        <w:t>六、充电控制器</w:t>
      </w:r>
      <w:r>
        <w:tab/>
      </w:r>
      <w:r>
        <w:fldChar w:fldCharType="begin"/>
      </w:r>
      <w:r>
        <w:instrText xml:space="preserve"> PAGEREF _Toc13625 \h </w:instrText>
      </w:r>
      <w:r>
        <w:fldChar w:fldCharType="separate"/>
      </w:r>
      <w:r>
        <w:t>26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CE93546">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_Toc23086 </w:instrText>
      </w:r>
      <w:r>
        <w:rPr>
          <w:rFonts w:ascii="Times New Roman" w:hAnsi="Times New Roman"/>
          <w:caps/>
          <w:szCs w:val="24"/>
          <w:highlight w:val="none"/>
        </w:rPr>
        <w:fldChar w:fldCharType="separate"/>
      </w:r>
      <w:r>
        <w:rPr>
          <w:rFonts w:hint="eastAsia" w:ascii="宋体" w:hAnsi="宋体" w:cs="宋体"/>
          <w:bCs/>
          <w:szCs w:val="32"/>
          <w:highlight w:val="none"/>
        </w:rPr>
        <w:t>七、设备箱</w:t>
      </w:r>
      <w:r>
        <w:tab/>
      </w:r>
      <w:r>
        <w:fldChar w:fldCharType="begin"/>
      </w:r>
      <w:r>
        <w:instrText xml:space="preserve"> PAGEREF _Toc23086 \h </w:instrText>
      </w:r>
      <w:r>
        <w:fldChar w:fldCharType="separate"/>
      </w:r>
      <w:r>
        <w:t>26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8C1018B">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_Toc27426 </w:instrText>
      </w:r>
      <w:r>
        <w:rPr>
          <w:rFonts w:ascii="Times New Roman" w:hAnsi="Times New Roman"/>
          <w:caps/>
          <w:szCs w:val="24"/>
          <w:highlight w:val="none"/>
        </w:rPr>
        <w:fldChar w:fldCharType="separate"/>
      </w:r>
      <w:r>
        <w:rPr>
          <w:rFonts w:hint="eastAsia" w:ascii="宋体" w:hAnsi="宋体" w:cs="宋体"/>
          <w:bCs/>
          <w:szCs w:val="32"/>
          <w:highlight w:val="none"/>
        </w:rPr>
        <w:t>八、立杆及支架</w:t>
      </w:r>
      <w:r>
        <w:tab/>
      </w:r>
      <w:r>
        <w:fldChar w:fldCharType="begin"/>
      </w:r>
      <w:r>
        <w:instrText xml:space="preserve"> PAGEREF _Toc27426 \h </w:instrText>
      </w:r>
      <w:r>
        <w:fldChar w:fldCharType="separate"/>
      </w:r>
      <w:r>
        <w:t>27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D5E289E">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_Toc16956 </w:instrText>
      </w:r>
      <w:r>
        <w:rPr>
          <w:rFonts w:ascii="Times New Roman" w:hAnsi="Times New Roman"/>
          <w:caps/>
          <w:szCs w:val="24"/>
          <w:highlight w:val="none"/>
        </w:rPr>
        <w:fldChar w:fldCharType="separate"/>
      </w:r>
      <w:r>
        <w:rPr>
          <w:rFonts w:hint="eastAsia" w:ascii="宋体" w:hAnsi="宋体" w:cs="宋体"/>
          <w:bCs/>
          <w:szCs w:val="32"/>
          <w:highlight w:val="none"/>
        </w:rPr>
        <w:t>九、H-ADCP安装支架</w:t>
      </w:r>
      <w:r>
        <w:tab/>
      </w:r>
      <w:r>
        <w:fldChar w:fldCharType="begin"/>
      </w:r>
      <w:r>
        <w:instrText xml:space="preserve"> PAGEREF _Toc16956 \h </w:instrText>
      </w:r>
      <w:r>
        <w:fldChar w:fldCharType="separate"/>
      </w:r>
      <w:r>
        <w:t>27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BC3198F">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_Toc17087 </w:instrText>
      </w:r>
      <w:r>
        <w:rPr>
          <w:rFonts w:ascii="Times New Roman" w:hAnsi="Times New Roman"/>
          <w:caps/>
          <w:szCs w:val="24"/>
          <w:highlight w:val="none"/>
        </w:rPr>
        <w:fldChar w:fldCharType="separate"/>
      </w:r>
      <w:r>
        <w:rPr>
          <w:rFonts w:hint="eastAsia" w:ascii="宋体" w:hAnsi="宋体" w:cs="宋体"/>
          <w:szCs w:val="48"/>
          <w:highlight w:val="none"/>
        </w:rPr>
        <w:t>闸门开度监测站</w:t>
      </w:r>
      <w:r>
        <w:tab/>
      </w:r>
      <w:r>
        <w:fldChar w:fldCharType="begin"/>
      </w:r>
      <w:r>
        <w:instrText xml:space="preserve"> PAGEREF _Toc17087 \h </w:instrText>
      </w:r>
      <w:r>
        <w:fldChar w:fldCharType="separate"/>
      </w:r>
      <w:r>
        <w:t>27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9E2C9C3">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_Toc1205 </w:instrText>
      </w:r>
      <w:r>
        <w:rPr>
          <w:rFonts w:ascii="Times New Roman" w:hAnsi="Times New Roman"/>
          <w:caps/>
          <w:szCs w:val="24"/>
          <w:highlight w:val="none"/>
        </w:rPr>
        <w:fldChar w:fldCharType="separate"/>
      </w:r>
      <w:r>
        <w:rPr>
          <w:rFonts w:hint="eastAsia" w:ascii="宋体" w:hAnsi="宋体" w:cs="宋体"/>
          <w:bCs/>
          <w:szCs w:val="32"/>
          <w:highlight w:val="none"/>
        </w:rPr>
        <w:t>一、闸位计</w:t>
      </w:r>
      <w:r>
        <w:tab/>
      </w:r>
      <w:r>
        <w:fldChar w:fldCharType="begin"/>
      </w:r>
      <w:r>
        <w:instrText xml:space="preserve"> PAGEREF _Toc1205 \h </w:instrText>
      </w:r>
      <w:r>
        <w:fldChar w:fldCharType="separate"/>
      </w:r>
      <w:r>
        <w:t>27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03E893A">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_Toc13703 </w:instrText>
      </w:r>
      <w:r>
        <w:rPr>
          <w:rFonts w:ascii="Times New Roman" w:hAnsi="Times New Roman"/>
          <w:caps/>
          <w:szCs w:val="24"/>
          <w:highlight w:val="none"/>
        </w:rPr>
        <w:fldChar w:fldCharType="separate"/>
      </w:r>
      <w:r>
        <w:rPr>
          <w:rFonts w:hint="eastAsia" w:ascii="宋体" w:hAnsi="宋体" w:cs="宋体"/>
          <w:bCs/>
          <w:szCs w:val="32"/>
          <w:highlight w:val="none"/>
        </w:rPr>
        <w:t>二、遥测终端机</w:t>
      </w:r>
      <w:r>
        <w:tab/>
      </w:r>
      <w:r>
        <w:fldChar w:fldCharType="begin"/>
      </w:r>
      <w:r>
        <w:instrText xml:space="preserve"> PAGEREF _Toc13703 \h </w:instrText>
      </w:r>
      <w:r>
        <w:fldChar w:fldCharType="separate"/>
      </w:r>
      <w:r>
        <w:t>27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DD3E036">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_Toc15203 </w:instrText>
      </w:r>
      <w:r>
        <w:rPr>
          <w:rFonts w:ascii="Times New Roman" w:hAnsi="Times New Roman"/>
          <w:caps/>
          <w:szCs w:val="24"/>
          <w:highlight w:val="none"/>
        </w:rPr>
        <w:fldChar w:fldCharType="separate"/>
      </w:r>
      <w:r>
        <w:rPr>
          <w:rFonts w:hint="eastAsia" w:ascii="宋体" w:hAnsi="宋体" w:cs="宋体"/>
          <w:bCs/>
          <w:szCs w:val="32"/>
          <w:highlight w:val="none"/>
        </w:rPr>
        <w:t>三、电源适配器</w:t>
      </w:r>
      <w:r>
        <w:tab/>
      </w:r>
      <w:r>
        <w:fldChar w:fldCharType="begin"/>
      </w:r>
      <w:r>
        <w:instrText xml:space="preserve"> PAGEREF _Toc15203 \h </w:instrText>
      </w:r>
      <w:r>
        <w:fldChar w:fldCharType="separate"/>
      </w:r>
      <w:r>
        <w:t>27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B31B7FA">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_Toc11142 </w:instrText>
      </w:r>
      <w:r>
        <w:rPr>
          <w:rFonts w:ascii="Times New Roman" w:hAnsi="Times New Roman"/>
          <w:caps/>
          <w:szCs w:val="24"/>
          <w:highlight w:val="none"/>
        </w:rPr>
        <w:fldChar w:fldCharType="separate"/>
      </w:r>
      <w:r>
        <w:rPr>
          <w:rFonts w:hint="eastAsia" w:ascii="宋体" w:hAnsi="宋体" w:cs="宋体"/>
          <w:bCs/>
          <w:szCs w:val="32"/>
          <w:highlight w:val="none"/>
        </w:rPr>
        <w:t>四、设备箱</w:t>
      </w:r>
      <w:r>
        <w:tab/>
      </w:r>
      <w:r>
        <w:fldChar w:fldCharType="begin"/>
      </w:r>
      <w:r>
        <w:instrText xml:space="preserve"> PAGEREF _Toc11142 \h </w:instrText>
      </w:r>
      <w:r>
        <w:fldChar w:fldCharType="separate"/>
      </w:r>
      <w:r>
        <w:t>28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86E598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_Toc13800 </w:instrText>
      </w:r>
      <w:r>
        <w:rPr>
          <w:rFonts w:ascii="Times New Roman" w:hAnsi="Times New Roman"/>
          <w:caps/>
          <w:szCs w:val="24"/>
          <w:highlight w:val="none"/>
        </w:rPr>
        <w:fldChar w:fldCharType="separate"/>
      </w:r>
      <w:r>
        <w:rPr>
          <w:rFonts w:hint="eastAsia" w:ascii="宋体" w:hAnsi="宋体" w:cs="宋体"/>
          <w:bCs/>
          <w:szCs w:val="32"/>
          <w:highlight w:val="none"/>
        </w:rPr>
        <w:t>五、闸位计支架</w:t>
      </w:r>
      <w:r>
        <w:tab/>
      </w:r>
      <w:r>
        <w:fldChar w:fldCharType="begin"/>
      </w:r>
      <w:r>
        <w:instrText xml:space="preserve"> PAGEREF _Toc13800 \h </w:instrText>
      </w:r>
      <w:r>
        <w:fldChar w:fldCharType="separate"/>
      </w:r>
      <w:r>
        <w:t>28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EFD04FB">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_Toc9875 </w:instrText>
      </w:r>
      <w:r>
        <w:rPr>
          <w:rFonts w:ascii="Times New Roman" w:hAnsi="Times New Roman"/>
          <w:caps/>
          <w:szCs w:val="24"/>
          <w:highlight w:val="none"/>
        </w:rPr>
        <w:fldChar w:fldCharType="separate"/>
      </w:r>
      <w:r>
        <w:rPr>
          <w:rFonts w:hint="eastAsia" w:ascii="宋体" w:hAnsi="宋体" w:cs="宋体"/>
          <w:szCs w:val="48"/>
          <w:highlight w:val="none"/>
        </w:rPr>
        <w:t>视频监测站</w:t>
      </w:r>
      <w:r>
        <w:tab/>
      </w:r>
      <w:r>
        <w:fldChar w:fldCharType="begin"/>
      </w:r>
      <w:r>
        <w:instrText xml:space="preserve"> PAGEREF _Toc9875 \h </w:instrText>
      </w:r>
      <w:r>
        <w:fldChar w:fldCharType="separate"/>
      </w:r>
      <w:r>
        <w:t>28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1F02874">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_Toc1167 </w:instrText>
      </w:r>
      <w:r>
        <w:rPr>
          <w:rFonts w:ascii="Times New Roman" w:hAnsi="Times New Roman"/>
          <w:caps/>
          <w:szCs w:val="24"/>
          <w:highlight w:val="none"/>
        </w:rPr>
        <w:fldChar w:fldCharType="separate"/>
      </w:r>
      <w:r>
        <w:rPr>
          <w:rFonts w:hint="eastAsia" w:ascii="宋体" w:hAnsi="宋体" w:cs="宋体"/>
          <w:bCs/>
          <w:szCs w:val="32"/>
          <w:highlight w:val="none"/>
        </w:rPr>
        <w:t>一、高清视频球机</w:t>
      </w:r>
      <w:r>
        <w:tab/>
      </w:r>
      <w:r>
        <w:fldChar w:fldCharType="begin"/>
      </w:r>
      <w:r>
        <w:instrText xml:space="preserve"> PAGEREF _Toc1167 \h </w:instrText>
      </w:r>
      <w:r>
        <w:fldChar w:fldCharType="separate"/>
      </w:r>
      <w:r>
        <w:t>28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6E435BD">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_Toc31827 </w:instrText>
      </w:r>
      <w:r>
        <w:rPr>
          <w:rFonts w:ascii="Times New Roman" w:hAnsi="Times New Roman"/>
          <w:caps/>
          <w:szCs w:val="24"/>
          <w:highlight w:val="none"/>
        </w:rPr>
        <w:fldChar w:fldCharType="separate"/>
      </w:r>
      <w:r>
        <w:rPr>
          <w:rFonts w:hint="eastAsia" w:ascii="宋体" w:hAnsi="宋体" w:cs="宋体"/>
          <w:bCs/>
          <w:szCs w:val="32"/>
          <w:highlight w:val="none"/>
        </w:rPr>
        <w:t>二、防雷设备</w:t>
      </w:r>
      <w:r>
        <w:tab/>
      </w:r>
      <w:r>
        <w:fldChar w:fldCharType="begin"/>
      </w:r>
      <w:r>
        <w:instrText xml:space="preserve"> PAGEREF _Toc31827 \h </w:instrText>
      </w:r>
      <w:r>
        <w:fldChar w:fldCharType="separate"/>
      </w:r>
      <w:r>
        <w:t>29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D20C60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_Toc15050 </w:instrText>
      </w:r>
      <w:r>
        <w:rPr>
          <w:rFonts w:ascii="Times New Roman" w:hAnsi="Times New Roman"/>
          <w:caps/>
          <w:szCs w:val="24"/>
          <w:highlight w:val="none"/>
        </w:rPr>
        <w:fldChar w:fldCharType="separate"/>
      </w:r>
      <w:r>
        <w:rPr>
          <w:rFonts w:hint="eastAsia" w:ascii="宋体" w:hAnsi="宋体" w:cs="宋体"/>
          <w:bCs/>
          <w:szCs w:val="32"/>
          <w:highlight w:val="none"/>
        </w:rPr>
        <w:t>三、电源箱</w:t>
      </w:r>
      <w:r>
        <w:tab/>
      </w:r>
      <w:r>
        <w:fldChar w:fldCharType="begin"/>
      </w:r>
      <w:r>
        <w:instrText xml:space="preserve"> PAGEREF _Toc15050 \h </w:instrText>
      </w:r>
      <w:r>
        <w:fldChar w:fldCharType="separate"/>
      </w:r>
      <w:r>
        <w:t>29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79BDA7C">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_Toc15694 </w:instrText>
      </w:r>
      <w:r>
        <w:rPr>
          <w:rFonts w:ascii="Times New Roman" w:hAnsi="Times New Roman"/>
          <w:caps/>
          <w:szCs w:val="24"/>
          <w:highlight w:val="none"/>
        </w:rPr>
        <w:fldChar w:fldCharType="separate"/>
      </w:r>
      <w:r>
        <w:rPr>
          <w:rFonts w:hint="eastAsia" w:ascii="宋体" w:hAnsi="宋体" w:cs="宋体"/>
          <w:bCs/>
          <w:szCs w:val="32"/>
          <w:highlight w:val="none"/>
        </w:rPr>
        <w:t>四、立杆支架</w:t>
      </w:r>
      <w:r>
        <w:tab/>
      </w:r>
      <w:r>
        <w:fldChar w:fldCharType="begin"/>
      </w:r>
      <w:r>
        <w:instrText xml:space="preserve"> PAGEREF _Toc15694 \h </w:instrText>
      </w:r>
      <w:r>
        <w:fldChar w:fldCharType="separate"/>
      </w:r>
      <w:r>
        <w:t>29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81F866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_Toc11893 </w:instrText>
      </w:r>
      <w:r>
        <w:rPr>
          <w:rFonts w:ascii="Times New Roman" w:hAnsi="Times New Roman"/>
          <w:caps/>
          <w:szCs w:val="24"/>
          <w:highlight w:val="none"/>
        </w:rPr>
        <w:fldChar w:fldCharType="separate"/>
      </w:r>
      <w:r>
        <w:rPr>
          <w:rFonts w:hint="eastAsia" w:ascii="宋体" w:hAnsi="宋体" w:cs="宋体"/>
          <w:bCs/>
          <w:szCs w:val="32"/>
          <w:highlight w:val="none"/>
        </w:rPr>
        <w:t>四、控制终端</w:t>
      </w:r>
      <w:r>
        <w:tab/>
      </w:r>
      <w:r>
        <w:fldChar w:fldCharType="begin"/>
      </w:r>
      <w:r>
        <w:instrText xml:space="preserve"> PAGEREF _Toc11893 \h </w:instrText>
      </w:r>
      <w:r>
        <w:fldChar w:fldCharType="separate"/>
      </w:r>
      <w:r>
        <w:t>29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0207BAC">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_Toc6553 </w:instrText>
      </w:r>
      <w:r>
        <w:rPr>
          <w:rFonts w:ascii="Times New Roman" w:hAnsi="Times New Roman"/>
          <w:caps/>
          <w:szCs w:val="24"/>
          <w:highlight w:val="none"/>
        </w:rPr>
        <w:fldChar w:fldCharType="separate"/>
      </w:r>
      <w:r>
        <w:rPr>
          <w:rFonts w:hint="eastAsia" w:ascii="宋体" w:hAnsi="宋体" w:cs="宋体"/>
          <w:szCs w:val="48"/>
          <w:highlight w:val="none"/>
        </w:rPr>
        <w:t>鸟类生物多样性监测站</w:t>
      </w:r>
      <w:r>
        <w:tab/>
      </w:r>
      <w:r>
        <w:fldChar w:fldCharType="begin"/>
      </w:r>
      <w:r>
        <w:instrText xml:space="preserve"> PAGEREF _Toc6553 \h </w:instrText>
      </w:r>
      <w:r>
        <w:fldChar w:fldCharType="separate"/>
      </w:r>
      <w:r>
        <w:t>29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928F4EC">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_Toc25171 </w:instrText>
      </w:r>
      <w:r>
        <w:rPr>
          <w:rFonts w:ascii="Times New Roman" w:hAnsi="Times New Roman"/>
          <w:caps/>
          <w:szCs w:val="24"/>
          <w:highlight w:val="none"/>
        </w:rPr>
        <w:fldChar w:fldCharType="separate"/>
      </w:r>
      <w:r>
        <w:rPr>
          <w:rFonts w:ascii="宋体" w:hAnsi="宋体" w:cs="宋体"/>
          <w:bCs/>
          <w:szCs w:val="32"/>
          <w:highlight w:val="none"/>
        </w:rPr>
        <w:t>一、</w:t>
      </w:r>
      <w:r>
        <w:rPr>
          <w:rFonts w:hint="eastAsia" w:ascii="宋体" w:hAnsi="宋体" w:cs="宋体"/>
          <w:bCs/>
          <w:szCs w:val="32"/>
          <w:highlight w:val="none"/>
        </w:rPr>
        <w:t>鸟类智能识别探头</w:t>
      </w:r>
      <w:r>
        <w:tab/>
      </w:r>
      <w:r>
        <w:fldChar w:fldCharType="begin"/>
      </w:r>
      <w:r>
        <w:instrText xml:space="preserve"> PAGEREF _Toc25171 \h </w:instrText>
      </w:r>
      <w:r>
        <w:fldChar w:fldCharType="separate"/>
      </w:r>
      <w:r>
        <w:t>29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A08BBF3">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_Toc22499 </w:instrText>
      </w:r>
      <w:r>
        <w:rPr>
          <w:rFonts w:ascii="Times New Roman" w:hAnsi="Times New Roman"/>
          <w:caps/>
          <w:szCs w:val="24"/>
          <w:highlight w:val="none"/>
        </w:rPr>
        <w:fldChar w:fldCharType="separate"/>
      </w:r>
      <w:r>
        <w:rPr>
          <w:rFonts w:hint="eastAsia" w:ascii="宋体" w:hAnsi="宋体" w:cs="宋体"/>
          <w:bCs/>
          <w:szCs w:val="32"/>
          <w:highlight w:val="none"/>
        </w:rPr>
        <w:t>二、鸟类鸣声监测设备</w:t>
      </w:r>
      <w:r>
        <w:tab/>
      </w:r>
      <w:r>
        <w:fldChar w:fldCharType="begin"/>
      </w:r>
      <w:r>
        <w:instrText xml:space="preserve"> PAGEREF _Toc22499 \h </w:instrText>
      </w:r>
      <w:r>
        <w:fldChar w:fldCharType="separate"/>
      </w:r>
      <w:r>
        <w:t>30</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66DD4F0">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_Toc32104 </w:instrText>
      </w:r>
      <w:r>
        <w:rPr>
          <w:rFonts w:ascii="Times New Roman" w:hAnsi="Times New Roman"/>
          <w:caps/>
          <w:szCs w:val="24"/>
          <w:highlight w:val="none"/>
        </w:rPr>
        <w:fldChar w:fldCharType="separate"/>
      </w:r>
      <w:r>
        <w:rPr>
          <w:rFonts w:hint="eastAsia" w:ascii="宋体" w:hAnsi="宋体" w:cs="宋体"/>
          <w:bCs/>
          <w:szCs w:val="32"/>
          <w:highlight w:val="none"/>
        </w:rPr>
        <w:t>三、可移动望远镜</w:t>
      </w:r>
      <w:r>
        <w:tab/>
      </w:r>
      <w:r>
        <w:fldChar w:fldCharType="begin"/>
      </w:r>
      <w:r>
        <w:instrText xml:space="preserve"> PAGEREF _Toc32104 \h </w:instrText>
      </w:r>
      <w:r>
        <w:fldChar w:fldCharType="separate"/>
      </w:r>
      <w:r>
        <w:t>30</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5F207EC">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_Toc23021 </w:instrText>
      </w:r>
      <w:r>
        <w:rPr>
          <w:rFonts w:ascii="Times New Roman" w:hAnsi="Times New Roman"/>
          <w:caps/>
          <w:szCs w:val="24"/>
          <w:highlight w:val="none"/>
        </w:rPr>
        <w:fldChar w:fldCharType="separate"/>
      </w:r>
      <w:r>
        <w:rPr>
          <w:rFonts w:hint="eastAsia" w:ascii="宋体" w:hAnsi="宋体" w:cs="宋体"/>
          <w:bCs/>
          <w:szCs w:val="32"/>
          <w:highlight w:val="none"/>
        </w:rPr>
        <w:t>五、无人机</w:t>
      </w:r>
      <w:r>
        <w:tab/>
      </w:r>
      <w:r>
        <w:fldChar w:fldCharType="begin"/>
      </w:r>
      <w:r>
        <w:instrText xml:space="preserve"> PAGEREF _Toc23021 \h </w:instrText>
      </w:r>
      <w:r>
        <w:fldChar w:fldCharType="separate"/>
      </w:r>
      <w:r>
        <w:t>30</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72751F8">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_Toc32275 </w:instrText>
      </w:r>
      <w:r>
        <w:rPr>
          <w:rFonts w:ascii="Times New Roman" w:hAnsi="Times New Roman"/>
          <w:caps/>
          <w:szCs w:val="24"/>
          <w:highlight w:val="none"/>
        </w:rPr>
        <w:fldChar w:fldCharType="separate"/>
      </w:r>
      <w:r>
        <w:rPr>
          <w:rFonts w:hint="eastAsia" w:ascii="宋体" w:hAnsi="宋体" w:cs="宋体"/>
          <w:szCs w:val="48"/>
          <w:highlight w:val="none"/>
        </w:rPr>
        <w:t>无人机及机场</w:t>
      </w:r>
      <w:r>
        <w:tab/>
      </w:r>
      <w:r>
        <w:fldChar w:fldCharType="begin"/>
      </w:r>
      <w:r>
        <w:instrText xml:space="preserve"> PAGEREF _Toc32275 \h </w:instrText>
      </w:r>
      <w:r>
        <w:fldChar w:fldCharType="separate"/>
      </w:r>
      <w:r>
        <w:t>31</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C77DF43">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_Toc16815 </w:instrText>
      </w:r>
      <w:r>
        <w:rPr>
          <w:rFonts w:ascii="Times New Roman" w:hAnsi="Times New Roman"/>
          <w:caps/>
          <w:szCs w:val="24"/>
          <w:highlight w:val="none"/>
        </w:rPr>
        <w:fldChar w:fldCharType="separate"/>
      </w:r>
      <w:r>
        <w:rPr>
          <w:rFonts w:ascii="宋体" w:hAnsi="宋体" w:cs="宋体"/>
          <w:bCs/>
          <w:szCs w:val="32"/>
        </w:rPr>
        <w:t xml:space="preserve">一、 </w:t>
      </w:r>
      <w:r>
        <w:rPr>
          <w:rFonts w:hint="eastAsia" w:ascii="宋体" w:hAnsi="宋体" w:cs="宋体"/>
          <w:bCs/>
          <w:szCs w:val="32"/>
          <w:highlight w:val="none"/>
        </w:rPr>
        <w:t>无人机场</w:t>
      </w:r>
      <w:r>
        <w:tab/>
      </w:r>
      <w:r>
        <w:fldChar w:fldCharType="begin"/>
      </w:r>
      <w:r>
        <w:instrText xml:space="preserve"> PAGEREF _Toc16815 \h </w:instrText>
      </w:r>
      <w:r>
        <w:fldChar w:fldCharType="separate"/>
      </w:r>
      <w:r>
        <w:t>31</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BEE29A6">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_Toc3871 </w:instrText>
      </w:r>
      <w:r>
        <w:rPr>
          <w:rFonts w:ascii="Times New Roman" w:hAnsi="Times New Roman"/>
          <w:caps/>
          <w:szCs w:val="24"/>
          <w:highlight w:val="none"/>
        </w:rPr>
        <w:fldChar w:fldCharType="separate"/>
      </w:r>
      <w:r>
        <w:rPr>
          <w:rFonts w:ascii="宋体" w:hAnsi="宋体" w:cs="宋体"/>
          <w:bCs/>
          <w:szCs w:val="32"/>
        </w:rPr>
        <w:t xml:space="preserve">二、 </w:t>
      </w:r>
      <w:r>
        <w:rPr>
          <w:rFonts w:hint="eastAsia" w:ascii="宋体" w:hAnsi="宋体" w:cs="宋体"/>
          <w:bCs/>
          <w:szCs w:val="32"/>
          <w:highlight w:val="none"/>
        </w:rPr>
        <w:t>无人机</w:t>
      </w:r>
      <w:r>
        <w:tab/>
      </w:r>
      <w:r>
        <w:fldChar w:fldCharType="begin"/>
      </w:r>
      <w:r>
        <w:instrText xml:space="preserve"> PAGEREF _Toc3871 \h </w:instrText>
      </w:r>
      <w:r>
        <w:fldChar w:fldCharType="separate"/>
      </w:r>
      <w:r>
        <w:t>31</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66310A9">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_Toc9402 </w:instrText>
      </w:r>
      <w:r>
        <w:rPr>
          <w:rFonts w:ascii="Times New Roman" w:hAnsi="Times New Roman"/>
          <w:caps/>
          <w:szCs w:val="24"/>
          <w:highlight w:val="none"/>
        </w:rPr>
        <w:fldChar w:fldCharType="separate"/>
      </w:r>
      <w:r>
        <w:rPr>
          <w:rFonts w:ascii="宋体" w:hAnsi="宋体" w:cs="宋体"/>
          <w:bCs/>
          <w:szCs w:val="32"/>
        </w:rPr>
        <w:t xml:space="preserve">三、 </w:t>
      </w:r>
      <w:r>
        <w:rPr>
          <w:rFonts w:hint="eastAsia" w:ascii="宋体" w:hAnsi="宋体" w:cs="宋体"/>
          <w:bCs/>
          <w:szCs w:val="32"/>
          <w:highlight w:val="none"/>
        </w:rPr>
        <w:t>遥控器</w:t>
      </w:r>
      <w:r>
        <w:tab/>
      </w:r>
      <w:r>
        <w:fldChar w:fldCharType="begin"/>
      </w:r>
      <w:r>
        <w:instrText xml:space="preserve"> PAGEREF _Toc9402 \h </w:instrText>
      </w:r>
      <w:r>
        <w:fldChar w:fldCharType="separate"/>
      </w:r>
      <w:r>
        <w:t>31</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EF94A02">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_Toc22041 </w:instrText>
      </w:r>
      <w:r>
        <w:rPr>
          <w:rFonts w:ascii="Times New Roman" w:hAnsi="Times New Roman"/>
          <w:caps/>
          <w:szCs w:val="24"/>
          <w:highlight w:val="none"/>
        </w:rPr>
        <w:fldChar w:fldCharType="separate"/>
      </w:r>
      <w:r>
        <w:rPr>
          <w:rFonts w:ascii="宋体" w:hAnsi="宋体" w:cs="宋体"/>
          <w:bCs/>
          <w:szCs w:val="32"/>
        </w:rPr>
        <w:t xml:space="preserve">四、 </w:t>
      </w:r>
      <w:r>
        <w:rPr>
          <w:rFonts w:hint="eastAsia" w:ascii="宋体" w:hAnsi="宋体" w:cs="宋体"/>
          <w:bCs/>
          <w:szCs w:val="32"/>
          <w:highlight w:val="none"/>
        </w:rPr>
        <w:t>图传模块</w:t>
      </w:r>
      <w:r>
        <w:tab/>
      </w:r>
      <w:r>
        <w:fldChar w:fldCharType="begin"/>
      </w:r>
      <w:r>
        <w:instrText xml:space="preserve"> PAGEREF _Toc22041 \h </w:instrText>
      </w:r>
      <w:r>
        <w:fldChar w:fldCharType="separate"/>
      </w:r>
      <w:r>
        <w:t>32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F58D8EF">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_Toc26520 </w:instrText>
      </w:r>
      <w:r>
        <w:rPr>
          <w:rFonts w:ascii="Times New Roman" w:hAnsi="Times New Roman"/>
          <w:caps/>
          <w:szCs w:val="24"/>
          <w:highlight w:val="none"/>
        </w:rPr>
        <w:fldChar w:fldCharType="separate"/>
      </w:r>
      <w:r>
        <w:rPr>
          <w:rFonts w:ascii="宋体" w:hAnsi="宋体" w:cs="宋体"/>
          <w:bCs/>
          <w:szCs w:val="32"/>
        </w:rPr>
        <w:t xml:space="preserve">五、 </w:t>
      </w:r>
      <w:r>
        <w:rPr>
          <w:rFonts w:hint="eastAsia" w:ascii="宋体" w:hAnsi="宋体" w:cs="宋体"/>
          <w:bCs/>
          <w:szCs w:val="32"/>
          <w:highlight w:val="none"/>
        </w:rPr>
        <w:t>喊话器</w:t>
      </w:r>
      <w:r>
        <w:tab/>
      </w:r>
      <w:r>
        <w:fldChar w:fldCharType="begin"/>
      </w:r>
      <w:r>
        <w:instrText xml:space="preserve"> PAGEREF _Toc26520 \h </w:instrText>
      </w:r>
      <w:r>
        <w:fldChar w:fldCharType="separate"/>
      </w:r>
      <w:r>
        <w:t>32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F1F4D7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_Toc3511 </w:instrText>
      </w:r>
      <w:r>
        <w:rPr>
          <w:rFonts w:ascii="Times New Roman" w:hAnsi="Times New Roman"/>
          <w:caps/>
          <w:szCs w:val="24"/>
          <w:highlight w:val="none"/>
        </w:rPr>
        <w:fldChar w:fldCharType="separate"/>
      </w:r>
      <w:r>
        <w:rPr>
          <w:rFonts w:ascii="宋体" w:hAnsi="宋体" w:cs="宋体"/>
          <w:bCs/>
          <w:szCs w:val="32"/>
        </w:rPr>
        <w:t xml:space="preserve">六、 </w:t>
      </w:r>
      <w:r>
        <w:rPr>
          <w:rFonts w:hint="eastAsia" w:ascii="宋体" w:hAnsi="宋体" w:cs="宋体"/>
          <w:bCs/>
          <w:szCs w:val="32"/>
          <w:highlight w:val="none"/>
        </w:rPr>
        <w:t>探照灯</w:t>
      </w:r>
      <w:r>
        <w:tab/>
      </w:r>
      <w:r>
        <w:fldChar w:fldCharType="begin"/>
      </w:r>
      <w:r>
        <w:instrText xml:space="preserve"> PAGEREF _Toc3511 \h </w:instrText>
      </w:r>
      <w:r>
        <w:fldChar w:fldCharType="separate"/>
      </w:r>
      <w:r>
        <w:t>32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7250220">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_Toc26934 </w:instrText>
      </w:r>
      <w:r>
        <w:rPr>
          <w:rFonts w:ascii="Times New Roman" w:hAnsi="Times New Roman"/>
          <w:caps/>
          <w:szCs w:val="24"/>
          <w:highlight w:val="none"/>
        </w:rPr>
        <w:fldChar w:fldCharType="separate"/>
      </w:r>
      <w:r>
        <w:rPr>
          <w:rFonts w:hint="eastAsia" w:ascii="宋体" w:hAnsi="宋体" w:cs="宋体"/>
          <w:szCs w:val="48"/>
          <w:highlight w:val="none"/>
        </w:rPr>
        <w:t>水质监测站</w:t>
      </w:r>
      <w:r>
        <w:tab/>
      </w:r>
      <w:r>
        <w:fldChar w:fldCharType="begin"/>
      </w:r>
      <w:r>
        <w:instrText xml:space="preserve"> PAGEREF _Toc26934 \h </w:instrText>
      </w:r>
      <w:r>
        <w:fldChar w:fldCharType="separate"/>
      </w:r>
      <w:r>
        <w:t>32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34046AA">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_Toc5139 </w:instrText>
      </w:r>
      <w:r>
        <w:rPr>
          <w:rFonts w:ascii="Times New Roman" w:hAnsi="Times New Roman"/>
          <w:caps/>
          <w:szCs w:val="24"/>
          <w:highlight w:val="none"/>
        </w:rPr>
        <w:fldChar w:fldCharType="separate"/>
      </w:r>
      <w:r>
        <w:rPr>
          <w:rFonts w:hint="eastAsia" w:ascii="宋体" w:hAnsi="宋体" w:cs="宋体"/>
          <w:bCs/>
          <w:szCs w:val="32"/>
          <w:highlight w:val="none"/>
        </w:rPr>
        <w:t>一、监测站房</w:t>
      </w:r>
      <w:r>
        <w:tab/>
      </w:r>
      <w:r>
        <w:fldChar w:fldCharType="begin"/>
      </w:r>
      <w:r>
        <w:instrText xml:space="preserve"> PAGEREF _Toc5139 \h </w:instrText>
      </w:r>
      <w:r>
        <w:fldChar w:fldCharType="separate"/>
      </w:r>
      <w:r>
        <w:t>32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D1CED52">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_Toc9888 </w:instrText>
      </w:r>
      <w:r>
        <w:rPr>
          <w:rFonts w:ascii="Times New Roman" w:hAnsi="Times New Roman"/>
          <w:caps/>
          <w:szCs w:val="24"/>
          <w:highlight w:val="none"/>
        </w:rPr>
        <w:fldChar w:fldCharType="separate"/>
      </w:r>
      <w:r>
        <w:rPr>
          <w:rFonts w:hint="eastAsia" w:ascii="宋体" w:hAnsi="宋体" w:cs="宋体"/>
          <w:bCs/>
          <w:szCs w:val="32"/>
          <w:highlight w:val="none"/>
        </w:rPr>
        <w:t>二、水样预处理装置设备</w:t>
      </w:r>
      <w:r>
        <w:tab/>
      </w:r>
      <w:r>
        <w:fldChar w:fldCharType="begin"/>
      </w:r>
      <w:r>
        <w:instrText xml:space="preserve"> PAGEREF _Toc9888 \h </w:instrText>
      </w:r>
      <w:r>
        <w:fldChar w:fldCharType="separate"/>
      </w:r>
      <w:r>
        <w:t>32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EED31D4">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_Toc5115 </w:instrText>
      </w:r>
      <w:r>
        <w:rPr>
          <w:rFonts w:ascii="Times New Roman" w:hAnsi="Times New Roman"/>
          <w:caps/>
          <w:szCs w:val="24"/>
          <w:highlight w:val="none"/>
        </w:rPr>
        <w:fldChar w:fldCharType="separate"/>
      </w:r>
      <w:r>
        <w:rPr>
          <w:rFonts w:hint="eastAsia" w:ascii="宋体" w:hAnsi="宋体" w:cs="宋体"/>
          <w:bCs/>
          <w:szCs w:val="32"/>
          <w:highlight w:val="none"/>
        </w:rPr>
        <w:t>三、配水装置设备</w:t>
      </w:r>
      <w:r>
        <w:tab/>
      </w:r>
      <w:r>
        <w:fldChar w:fldCharType="begin"/>
      </w:r>
      <w:r>
        <w:instrText xml:space="preserve"> PAGEREF _Toc5115 \h </w:instrText>
      </w:r>
      <w:r>
        <w:fldChar w:fldCharType="separate"/>
      </w:r>
      <w:r>
        <w:t>33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7B1528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_Toc404 </w:instrText>
      </w:r>
      <w:r>
        <w:rPr>
          <w:rFonts w:ascii="Times New Roman" w:hAnsi="Times New Roman"/>
          <w:caps/>
          <w:szCs w:val="24"/>
          <w:highlight w:val="none"/>
        </w:rPr>
        <w:fldChar w:fldCharType="separate"/>
      </w:r>
      <w:r>
        <w:rPr>
          <w:rFonts w:hint="eastAsia" w:ascii="宋体" w:hAnsi="宋体" w:cs="宋体"/>
          <w:bCs/>
          <w:szCs w:val="32"/>
          <w:highlight w:val="none"/>
        </w:rPr>
        <w:t>四、控制单元设备</w:t>
      </w:r>
      <w:r>
        <w:tab/>
      </w:r>
      <w:r>
        <w:fldChar w:fldCharType="begin"/>
      </w:r>
      <w:r>
        <w:instrText xml:space="preserve"> PAGEREF _Toc404 \h </w:instrText>
      </w:r>
      <w:r>
        <w:fldChar w:fldCharType="separate"/>
      </w:r>
      <w:r>
        <w:t>33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F6E8F2E">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_Toc27063 </w:instrText>
      </w:r>
      <w:r>
        <w:rPr>
          <w:rFonts w:ascii="Times New Roman" w:hAnsi="Times New Roman"/>
          <w:caps/>
          <w:szCs w:val="24"/>
          <w:highlight w:val="none"/>
        </w:rPr>
        <w:fldChar w:fldCharType="separate"/>
      </w:r>
      <w:r>
        <w:rPr>
          <w:rFonts w:hint="eastAsia" w:ascii="宋体" w:hAnsi="宋体" w:cs="宋体"/>
          <w:bCs/>
          <w:szCs w:val="32"/>
          <w:highlight w:val="none"/>
        </w:rPr>
        <w:t>五、数据采集传输设备</w:t>
      </w:r>
      <w:r>
        <w:tab/>
      </w:r>
      <w:r>
        <w:fldChar w:fldCharType="begin"/>
      </w:r>
      <w:r>
        <w:instrText xml:space="preserve"> PAGEREF _Toc27063 \h </w:instrText>
      </w:r>
      <w:r>
        <w:fldChar w:fldCharType="separate"/>
      </w:r>
      <w:r>
        <w:t>34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8E78B9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_Toc26809 </w:instrText>
      </w:r>
      <w:r>
        <w:rPr>
          <w:rFonts w:ascii="Times New Roman" w:hAnsi="Times New Roman"/>
          <w:caps/>
          <w:szCs w:val="24"/>
          <w:highlight w:val="none"/>
        </w:rPr>
        <w:fldChar w:fldCharType="separate"/>
      </w:r>
      <w:r>
        <w:rPr>
          <w:rFonts w:hint="eastAsia" w:ascii="宋体" w:hAnsi="宋体" w:cs="宋体"/>
          <w:bCs/>
          <w:szCs w:val="32"/>
          <w:highlight w:val="none"/>
        </w:rPr>
        <w:t>六、环境集成配套设备</w:t>
      </w:r>
      <w:r>
        <w:tab/>
      </w:r>
      <w:r>
        <w:fldChar w:fldCharType="begin"/>
      </w:r>
      <w:r>
        <w:instrText xml:space="preserve"> PAGEREF _Toc26809 \h </w:instrText>
      </w:r>
      <w:r>
        <w:fldChar w:fldCharType="separate"/>
      </w:r>
      <w:r>
        <w:t>34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DD8CFF0">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_Toc9956 </w:instrText>
      </w:r>
      <w:r>
        <w:rPr>
          <w:rFonts w:ascii="Times New Roman" w:hAnsi="Times New Roman"/>
          <w:caps/>
          <w:szCs w:val="24"/>
          <w:highlight w:val="none"/>
        </w:rPr>
        <w:fldChar w:fldCharType="separate"/>
      </w:r>
      <w:r>
        <w:rPr>
          <w:rFonts w:hint="eastAsia" w:ascii="宋体" w:hAnsi="宋体" w:cs="宋体"/>
          <w:bCs/>
          <w:szCs w:val="32"/>
          <w:highlight w:val="none"/>
        </w:rPr>
        <w:t>七、电力设施及监控设备</w:t>
      </w:r>
      <w:r>
        <w:tab/>
      </w:r>
      <w:r>
        <w:fldChar w:fldCharType="begin"/>
      </w:r>
      <w:r>
        <w:instrText xml:space="preserve"> PAGEREF _Toc9956 \h </w:instrText>
      </w:r>
      <w:r>
        <w:fldChar w:fldCharType="separate"/>
      </w:r>
      <w:r>
        <w:t>34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12038B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_Toc22140 </w:instrText>
      </w:r>
      <w:r>
        <w:rPr>
          <w:rFonts w:ascii="Times New Roman" w:hAnsi="Times New Roman"/>
          <w:caps/>
          <w:szCs w:val="24"/>
          <w:highlight w:val="none"/>
        </w:rPr>
        <w:fldChar w:fldCharType="separate"/>
      </w:r>
      <w:r>
        <w:rPr>
          <w:rFonts w:hint="eastAsia" w:ascii="宋体" w:hAnsi="宋体" w:cs="宋体"/>
          <w:bCs/>
          <w:szCs w:val="32"/>
          <w:highlight w:val="none"/>
        </w:rPr>
        <w:t>八、雷达流速流量计</w:t>
      </w:r>
      <w:r>
        <w:tab/>
      </w:r>
      <w:r>
        <w:fldChar w:fldCharType="begin"/>
      </w:r>
      <w:r>
        <w:instrText xml:space="preserve"> PAGEREF _Toc22140 \h </w:instrText>
      </w:r>
      <w:r>
        <w:fldChar w:fldCharType="separate"/>
      </w:r>
      <w:r>
        <w:t>34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96D0056">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_Toc30305 </w:instrText>
      </w:r>
      <w:r>
        <w:rPr>
          <w:rFonts w:ascii="Times New Roman" w:hAnsi="Times New Roman"/>
          <w:caps/>
          <w:szCs w:val="24"/>
          <w:highlight w:val="none"/>
        </w:rPr>
        <w:fldChar w:fldCharType="separate"/>
      </w:r>
      <w:r>
        <w:rPr>
          <w:rFonts w:hint="eastAsia" w:ascii="宋体" w:hAnsi="宋体" w:cs="宋体"/>
          <w:bCs/>
          <w:szCs w:val="32"/>
          <w:highlight w:val="none"/>
        </w:rPr>
        <w:t>九、高锰酸盐指数在线监测仪</w:t>
      </w:r>
      <w:r>
        <w:tab/>
      </w:r>
      <w:r>
        <w:fldChar w:fldCharType="begin"/>
      </w:r>
      <w:r>
        <w:instrText xml:space="preserve"> PAGEREF _Toc30305 \h </w:instrText>
      </w:r>
      <w:r>
        <w:fldChar w:fldCharType="separate"/>
      </w:r>
      <w:r>
        <w:t>34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8299210">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_Toc988 </w:instrText>
      </w:r>
      <w:r>
        <w:rPr>
          <w:rFonts w:ascii="Times New Roman" w:hAnsi="Times New Roman"/>
          <w:caps/>
          <w:szCs w:val="24"/>
          <w:highlight w:val="none"/>
        </w:rPr>
        <w:fldChar w:fldCharType="separate"/>
      </w:r>
      <w:r>
        <w:rPr>
          <w:rFonts w:hint="eastAsia" w:ascii="宋体" w:hAnsi="宋体" w:cs="宋体"/>
          <w:bCs/>
          <w:szCs w:val="32"/>
          <w:highlight w:val="none"/>
        </w:rPr>
        <w:t>十、氨氮在线监测仪</w:t>
      </w:r>
      <w:r>
        <w:tab/>
      </w:r>
      <w:r>
        <w:fldChar w:fldCharType="begin"/>
      </w:r>
      <w:r>
        <w:instrText xml:space="preserve"> PAGEREF _Toc988 \h </w:instrText>
      </w:r>
      <w:r>
        <w:fldChar w:fldCharType="separate"/>
      </w:r>
      <w:r>
        <w:t>35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0CB9A82">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_Toc26716 </w:instrText>
      </w:r>
      <w:r>
        <w:rPr>
          <w:rFonts w:ascii="Times New Roman" w:hAnsi="Times New Roman"/>
          <w:caps/>
          <w:szCs w:val="24"/>
          <w:highlight w:val="none"/>
        </w:rPr>
        <w:fldChar w:fldCharType="separate"/>
      </w:r>
      <w:r>
        <w:rPr>
          <w:rFonts w:hint="eastAsia" w:ascii="宋体" w:hAnsi="宋体" w:cs="宋体"/>
          <w:bCs/>
          <w:szCs w:val="32"/>
          <w:highlight w:val="none"/>
        </w:rPr>
        <w:t>十一、总磷在线监测仪</w:t>
      </w:r>
      <w:r>
        <w:tab/>
      </w:r>
      <w:r>
        <w:fldChar w:fldCharType="begin"/>
      </w:r>
      <w:r>
        <w:instrText xml:space="preserve"> PAGEREF _Toc26716 \h </w:instrText>
      </w:r>
      <w:r>
        <w:fldChar w:fldCharType="separate"/>
      </w:r>
      <w:r>
        <w:t>36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08F28B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_Toc22200 </w:instrText>
      </w:r>
      <w:r>
        <w:rPr>
          <w:rFonts w:ascii="Times New Roman" w:hAnsi="Times New Roman"/>
          <w:caps/>
          <w:szCs w:val="24"/>
          <w:highlight w:val="none"/>
        </w:rPr>
        <w:fldChar w:fldCharType="separate"/>
      </w:r>
      <w:r>
        <w:rPr>
          <w:rFonts w:hint="eastAsia" w:ascii="宋体" w:hAnsi="宋体" w:cs="宋体"/>
          <w:bCs/>
          <w:szCs w:val="32"/>
          <w:highlight w:val="none"/>
        </w:rPr>
        <w:t>十二、总氮在线监测仪</w:t>
      </w:r>
      <w:r>
        <w:tab/>
      </w:r>
      <w:r>
        <w:fldChar w:fldCharType="begin"/>
      </w:r>
      <w:r>
        <w:instrText xml:space="preserve"> PAGEREF _Toc22200 \h </w:instrText>
      </w:r>
      <w:r>
        <w:fldChar w:fldCharType="separate"/>
      </w:r>
      <w:r>
        <w:t>37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948BE4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_Toc3925 </w:instrText>
      </w:r>
      <w:r>
        <w:rPr>
          <w:rFonts w:ascii="Times New Roman" w:hAnsi="Times New Roman"/>
          <w:caps/>
          <w:szCs w:val="24"/>
          <w:highlight w:val="none"/>
        </w:rPr>
        <w:fldChar w:fldCharType="separate"/>
      </w:r>
      <w:r>
        <w:rPr>
          <w:rFonts w:hint="eastAsia" w:ascii="宋体" w:hAnsi="宋体" w:cs="宋体"/>
          <w:bCs/>
          <w:szCs w:val="32"/>
          <w:highlight w:val="none"/>
        </w:rPr>
        <w:t>十三、常规五参数分析仪</w:t>
      </w:r>
      <w:r>
        <w:tab/>
      </w:r>
      <w:r>
        <w:fldChar w:fldCharType="begin"/>
      </w:r>
      <w:r>
        <w:instrText xml:space="preserve"> PAGEREF _Toc3925 \h </w:instrText>
      </w:r>
      <w:r>
        <w:fldChar w:fldCharType="separate"/>
      </w:r>
      <w:r>
        <w:t>38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C68710B">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_Toc26439 </w:instrText>
      </w:r>
      <w:r>
        <w:rPr>
          <w:rFonts w:ascii="Times New Roman" w:hAnsi="Times New Roman"/>
          <w:caps/>
          <w:szCs w:val="24"/>
          <w:highlight w:val="none"/>
        </w:rPr>
        <w:fldChar w:fldCharType="separate"/>
      </w:r>
      <w:r>
        <w:rPr>
          <w:rFonts w:hint="eastAsia" w:ascii="宋体" w:hAnsi="宋体" w:cs="宋体"/>
          <w:bCs/>
          <w:szCs w:val="32"/>
          <w:highlight w:val="none"/>
        </w:rPr>
        <w:t>十四、蓝绿藻传感器</w:t>
      </w:r>
      <w:r>
        <w:tab/>
      </w:r>
      <w:r>
        <w:fldChar w:fldCharType="begin"/>
      </w:r>
      <w:r>
        <w:instrText xml:space="preserve"> PAGEREF _Toc26439 \h </w:instrText>
      </w:r>
      <w:r>
        <w:fldChar w:fldCharType="separate"/>
      </w:r>
      <w:r>
        <w:t>38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D62A27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_Toc5936 </w:instrText>
      </w:r>
      <w:r>
        <w:rPr>
          <w:rFonts w:ascii="Times New Roman" w:hAnsi="Times New Roman"/>
          <w:caps/>
          <w:szCs w:val="24"/>
          <w:highlight w:val="none"/>
        </w:rPr>
        <w:fldChar w:fldCharType="separate"/>
      </w:r>
      <w:r>
        <w:rPr>
          <w:rFonts w:hint="eastAsia" w:ascii="宋体" w:hAnsi="宋体" w:cs="宋体"/>
          <w:bCs/>
          <w:szCs w:val="32"/>
          <w:highlight w:val="none"/>
        </w:rPr>
        <w:t>配套软件：昆承湖河湖健康管理平台</w:t>
      </w:r>
      <w:r>
        <w:tab/>
      </w:r>
      <w:r>
        <w:fldChar w:fldCharType="begin"/>
      </w:r>
      <w:r>
        <w:instrText xml:space="preserve"> PAGEREF _Toc5936 \h </w:instrText>
      </w:r>
      <w:r>
        <w:fldChar w:fldCharType="separate"/>
      </w:r>
      <w:r>
        <w:t>38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1B15BC5">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_Toc21287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第五章  评审因素和评分标准</w:t>
      </w:r>
      <w:r>
        <w:tab/>
      </w:r>
      <w:r>
        <w:fldChar w:fldCharType="begin"/>
      </w:r>
      <w:r>
        <w:instrText xml:space="preserve"> PAGEREF _Toc21287 \h </w:instrText>
      </w:r>
      <w:r>
        <w:fldChar w:fldCharType="separate"/>
      </w:r>
      <w:r>
        <w:t>42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3A535D9">
      <w:pPr>
        <w:pStyle w:val="30"/>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_Toc9057 </w:instrText>
      </w:r>
      <w:r>
        <w:rPr>
          <w:rFonts w:ascii="Times New Roman" w:hAnsi="Times New Roman"/>
          <w:caps/>
          <w:szCs w:val="24"/>
          <w:highlight w:val="none"/>
        </w:rPr>
        <w:fldChar w:fldCharType="separate"/>
      </w:r>
      <w:r>
        <w:rPr>
          <w:rFonts w:hint="eastAsia" w:ascii="黑体" w:hAnsi="Courier New" w:eastAsia="黑体" w:cs="Courier New"/>
          <w:bCs/>
          <w:szCs w:val="21"/>
          <w:highlight w:val="none"/>
        </w:rPr>
        <w:t>第六章  投标文件格式</w:t>
      </w:r>
      <w:r>
        <w:tab/>
      </w:r>
      <w:r>
        <w:fldChar w:fldCharType="begin"/>
      </w:r>
      <w:r>
        <w:instrText xml:space="preserve"> PAGEREF _Toc9057 \h </w:instrText>
      </w:r>
      <w:r>
        <w:fldChar w:fldCharType="separate"/>
      </w:r>
      <w:r>
        <w:t>46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BD19C5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_Toc12484 </w:instrText>
      </w:r>
      <w:r>
        <w:rPr>
          <w:rFonts w:ascii="Times New Roman" w:hAnsi="Times New Roman"/>
          <w:caps/>
          <w:szCs w:val="24"/>
          <w:highlight w:val="none"/>
        </w:rPr>
        <w:fldChar w:fldCharType="separate"/>
      </w:r>
      <w:r>
        <w:rPr>
          <w:rFonts w:hint="eastAsia" w:ascii="Times New Roman" w:hAnsi="Times New Roman"/>
          <w:bCs/>
          <w:szCs w:val="28"/>
          <w:highlight w:val="none"/>
        </w:rPr>
        <w:t>附件1 开标一览表</w:t>
      </w:r>
      <w:r>
        <w:tab/>
      </w:r>
      <w:r>
        <w:fldChar w:fldCharType="begin"/>
      </w:r>
      <w:r>
        <w:instrText xml:space="preserve"> PAGEREF _Toc12484 \h </w:instrText>
      </w:r>
      <w:r>
        <w:fldChar w:fldCharType="separate"/>
      </w:r>
      <w:r>
        <w:t>48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00EE9C59">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_Toc12056 </w:instrText>
      </w:r>
      <w:r>
        <w:rPr>
          <w:rFonts w:ascii="Times New Roman" w:hAnsi="Times New Roman"/>
          <w:caps/>
          <w:szCs w:val="24"/>
          <w:highlight w:val="none"/>
        </w:rPr>
        <w:fldChar w:fldCharType="separate"/>
      </w:r>
      <w:r>
        <w:rPr>
          <w:rFonts w:hint="eastAsia" w:ascii="Times New Roman" w:hAnsi="Times New Roman"/>
          <w:bCs/>
          <w:szCs w:val="28"/>
          <w:highlight w:val="none"/>
        </w:rPr>
        <w:t>附件2 报价明细表</w:t>
      </w:r>
      <w:r>
        <w:tab/>
      </w:r>
      <w:r>
        <w:fldChar w:fldCharType="begin"/>
      </w:r>
      <w:r>
        <w:instrText xml:space="preserve"> PAGEREF _Toc12056 \h </w:instrText>
      </w:r>
      <w:r>
        <w:fldChar w:fldCharType="separate"/>
      </w:r>
      <w:r>
        <w:t>49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1EF3FF3">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_Toc7825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 xml:space="preserve">附件3 </w:t>
      </w:r>
      <w:r>
        <w:rPr>
          <w:rFonts w:hint="eastAsia" w:ascii="Times New Roman" w:hAnsi="Times New Roman" w:eastAsia="宋体" w:cs="Times New Roman"/>
          <w:szCs w:val="28"/>
          <w:highlight w:val="none"/>
          <w:lang w:bidi="ar"/>
        </w:rPr>
        <w:t>技术要求响应及偏离表</w:t>
      </w:r>
      <w:r>
        <w:tab/>
      </w:r>
      <w:r>
        <w:fldChar w:fldCharType="begin"/>
      </w:r>
      <w:r>
        <w:instrText xml:space="preserve"> PAGEREF _Toc7825 \h </w:instrText>
      </w:r>
      <w:r>
        <w:fldChar w:fldCharType="separate"/>
      </w:r>
      <w:r>
        <w:t>50</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95ABC3E">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_Toc14074 </w:instrText>
      </w:r>
      <w:r>
        <w:rPr>
          <w:rFonts w:ascii="Times New Roman" w:hAnsi="Times New Roman"/>
          <w:caps/>
          <w:szCs w:val="24"/>
          <w:highlight w:val="none"/>
        </w:rPr>
        <w:fldChar w:fldCharType="separate"/>
      </w:r>
      <w:r>
        <w:rPr>
          <w:rFonts w:hint="eastAsia" w:ascii="Times New Roman" w:hAnsi="Times New Roman"/>
          <w:bCs/>
          <w:szCs w:val="28"/>
          <w:highlight w:val="none"/>
        </w:rPr>
        <w:t>附件4</w:t>
      </w:r>
      <w:r>
        <w:rPr>
          <w:rFonts w:ascii="Times New Roman" w:hAnsi="Times New Roman"/>
          <w:bCs/>
          <w:szCs w:val="28"/>
          <w:highlight w:val="none"/>
        </w:rPr>
        <w:t xml:space="preserve"> </w:t>
      </w:r>
      <w:r>
        <w:rPr>
          <w:rFonts w:hint="eastAsia" w:ascii="Times New Roman" w:hAnsi="Times New Roman"/>
          <w:bCs/>
          <w:szCs w:val="28"/>
          <w:highlight w:val="none"/>
        </w:rPr>
        <w:t>项目方案</w:t>
      </w:r>
      <w:r>
        <w:tab/>
      </w:r>
      <w:r>
        <w:fldChar w:fldCharType="begin"/>
      </w:r>
      <w:r>
        <w:instrText xml:space="preserve"> PAGEREF _Toc14074 \h </w:instrText>
      </w:r>
      <w:r>
        <w:fldChar w:fldCharType="separate"/>
      </w:r>
      <w:r>
        <w:t>51</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7AFC307">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_Toc1712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 xml:space="preserve">附件5 </w:t>
      </w:r>
      <w:r>
        <w:rPr>
          <w:rFonts w:hint="eastAsia" w:ascii="Times New Roman" w:hAnsi="Times New Roman" w:eastAsia="宋体" w:cs="Times New Roman"/>
          <w:szCs w:val="28"/>
          <w:highlight w:val="none"/>
          <w:lang w:bidi="ar"/>
        </w:rPr>
        <w:t>质量保证及售后服务</w:t>
      </w:r>
      <w:r>
        <w:tab/>
      </w:r>
      <w:r>
        <w:fldChar w:fldCharType="begin"/>
      </w:r>
      <w:r>
        <w:instrText xml:space="preserve"> PAGEREF _Toc1712 \h </w:instrText>
      </w:r>
      <w:r>
        <w:fldChar w:fldCharType="separate"/>
      </w:r>
      <w:r>
        <w:t>52</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47FDC1BB">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_Toc9320 </w:instrText>
      </w:r>
      <w:r>
        <w:rPr>
          <w:rFonts w:ascii="Times New Roman" w:hAnsi="Times New Roman"/>
          <w:caps/>
          <w:szCs w:val="24"/>
          <w:highlight w:val="none"/>
        </w:rPr>
        <w:fldChar w:fldCharType="separate"/>
      </w:r>
      <w:r>
        <w:rPr>
          <w:rFonts w:hint="eastAsia" w:ascii="Times New Roman" w:hAnsi="Times New Roman" w:eastAsia="宋体" w:cs="Times New Roman"/>
          <w:bCs/>
          <w:szCs w:val="28"/>
          <w:highlight w:val="none"/>
        </w:rPr>
        <w:t>附件6 业绩一览表</w:t>
      </w:r>
      <w:r>
        <w:tab/>
      </w:r>
      <w:r>
        <w:fldChar w:fldCharType="begin"/>
      </w:r>
      <w:r>
        <w:instrText xml:space="preserve"> PAGEREF _Toc9320 \h </w:instrText>
      </w:r>
      <w:r>
        <w:fldChar w:fldCharType="separate"/>
      </w:r>
      <w:r>
        <w:t>53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490B779">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_Toc23973 </w:instrText>
      </w:r>
      <w:r>
        <w:rPr>
          <w:rFonts w:ascii="Times New Roman" w:hAnsi="Times New Roman"/>
          <w:caps/>
          <w:szCs w:val="24"/>
          <w:highlight w:val="none"/>
        </w:rPr>
        <w:fldChar w:fldCharType="separate"/>
      </w:r>
      <w:r>
        <w:rPr>
          <w:rFonts w:hint="eastAsia" w:ascii="Times New Roman" w:hAnsi="Times New Roman"/>
          <w:bCs/>
          <w:szCs w:val="28"/>
          <w:highlight w:val="none"/>
        </w:rPr>
        <w:t>附件7 商务要求响应及偏离表</w:t>
      </w:r>
      <w:r>
        <w:tab/>
      </w:r>
      <w:r>
        <w:fldChar w:fldCharType="begin"/>
      </w:r>
      <w:r>
        <w:instrText xml:space="preserve"> PAGEREF _Toc23973 \h </w:instrText>
      </w:r>
      <w:r>
        <w:fldChar w:fldCharType="separate"/>
      </w:r>
      <w:r>
        <w:t>54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2D8C591">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_Toc4082 </w:instrText>
      </w:r>
      <w:r>
        <w:rPr>
          <w:rFonts w:ascii="Times New Roman" w:hAnsi="Times New Roman"/>
          <w:caps/>
          <w:szCs w:val="24"/>
          <w:highlight w:val="none"/>
        </w:rPr>
        <w:fldChar w:fldCharType="separate"/>
      </w:r>
      <w:r>
        <w:rPr>
          <w:rFonts w:hint="eastAsia" w:ascii="Times New Roman" w:hAnsi="Times New Roman"/>
          <w:bCs/>
          <w:szCs w:val="28"/>
          <w:highlight w:val="none"/>
        </w:rPr>
        <w:t>附件8 其他</w:t>
      </w:r>
      <w:r>
        <w:tab/>
      </w:r>
      <w:r>
        <w:fldChar w:fldCharType="begin"/>
      </w:r>
      <w:r>
        <w:instrText xml:space="preserve"> PAGEREF _Toc4082 \h </w:instrText>
      </w:r>
      <w:r>
        <w:fldChar w:fldCharType="separate"/>
      </w:r>
      <w:r>
        <w:t>55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6890F83F">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_Toc24429 </w:instrText>
      </w:r>
      <w:r>
        <w:rPr>
          <w:rFonts w:ascii="Times New Roman" w:hAnsi="Times New Roman"/>
          <w:caps/>
          <w:szCs w:val="24"/>
          <w:highlight w:val="none"/>
        </w:rPr>
        <w:fldChar w:fldCharType="separate"/>
      </w:r>
      <w:r>
        <w:rPr>
          <w:rFonts w:hint="eastAsia" w:ascii="Times New Roman" w:hAnsi="Times New Roman"/>
          <w:bCs/>
          <w:szCs w:val="28"/>
          <w:highlight w:val="none"/>
        </w:rPr>
        <w:t>附件9 具备履行合同所必需的设备和专业技术能力的书面声明</w:t>
      </w:r>
      <w:r>
        <w:tab/>
      </w:r>
      <w:r>
        <w:fldChar w:fldCharType="begin"/>
      </w:r>
      <w:r>
        <w:instrText xml:space="preserve"> PAGEREF _Toc24429 \h </w:instrText>
      </w:r>
      <w:r>
        <w:fldChar w:fldCharType="separate"/>
      </w:r>
      <w:r>
        <w:t>56</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35699FD4">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_Toc31884 </w:instrText>
      </w:r>
      <w:r>
        <w:rPr>
          <w:rFonts w:ascii="Times New Roman" w:hAnsi="Times New Roman"/>
          <w:caps/>
          <w:szCs w:val="24"/>
          <w:highlight w:val="none"/>
        </w:rPr>
        <w:fldChar w:fldCharType="separate"/>
      </w:r>
      <w:r>
        <w:rPr>
          <w:rFonts w:hint="eastAsia" w:ascii="Times New Roman" w:hAnsi="Times New Roman"/>
          <w:bCs/>
          <w:szCs w:val="28"/>
          <w:highlight w:val="none"/>
        </w:rPr>
        <w:t>附件10</w:t>
      </w:r>
      <w:r>
        <w:rPr>
          <w:rFonts w:ascii="Times New Roman" w:hAnsi="Times New Roman"/>
          <w:bCs/>
          <w:szCs w:val="28"/>
          <w:highlight w:val="none"/>
        </w:rPr>
        <w:t xml:space="preserve"> </w:t>
      </w:r>
      <w:r>
        <w:rPr>
          <w:rFonts w:hint="eastAsia" w:ascii="Times New Roman" w:hAnsi="Times New Roman"/>
          <w:bCs/>
          <w:szCs w:val="28"/>
          <w:highlight w:val="none"/>
        </w:rPr>
        <w:t>参加政府采购活动前 3 年内在经营活动中没有重大违法记录的书面声明</w:t>
      </w:r>
      <w:r>
        <w:tab/>
      </w:r>
      <w:r>
        <w:fldChar w:fldCharType="begin"/>
      </w:r>
      <w:r>
        <w:instrText xml:space="preserve"> PAGEREF _Toc31884 \h </w:instrText>
      </w:r>
      <w:r>
        <w:fldChar w:fldCharType="separate"/>
      </w:r>
      <w:r>
        <w:t>57</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20245BC8">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_Toc1644 </w:instrText>
      </w:r>
      <w:r>
        <w:rPr>
          <w:rFonts w:ascii="Times New Roman" w:hAnsi="Times New Roman"/>
          <w:caps/>
          <w:szCs w:val="24"/>
          <w:highlight w:val="none"/>
        </w:rPr>
        <w:fldChar w:fldCharType="separate"/>
      </w:r>
      <w:r>
        <w:rPr>
          <w:rFonts w:hint="eastAsia" w:ascii="Times New Roman" w:hAnsi="Times New Roman"/>
          <w:bCs/>
          <w:szCs w:val="28"/>
          <w:highlight w:val="none"/>
        </w:rPr>
        <w:t>附件11</w:t>
      </w:r>
      <w:r>
        <w:rPr>
          <w:rFonts w:ascii="Times New Roman" w:hAnsi="Times New Roman"/>
          <w:bCs/>
          <w:szCs w:val="28"/>
          <w:highlight w:val="none"/>
        </w:rPr>
        <w:t xml:space="preserve"> </w:t>
      </w:r>
      <w:r>
        <w:rPr>
          <w:rFonts w:hint="eastAsia" w:ascii="Times New Roman" w:hAnsi="Times New Roman"/>
          <w:bCs/>
          <w:szCs w:val="28"/>
          <w:highlight w:val="none"/>
        </w:rPr>
        <w:t>法人授权书</w:t>
      </w:r>
      <w:r>
        <w:tab/>
      </w:r>
      <w:r>
        <w:fldChar w:fldCharType="begin"/>
      </w:r>
      <w:r>
        <w:instrText xml:space="preserve"> PAGEREF _Toc1644 \h </w:instrText>
      </w:r>
      <w:r>
        <w:fldChar w:fldCharType="separate"/>
      </w:r>
      <w:r>
        <w:t>58</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1495ABFF">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_Toc31039 </w:instrText>
      </w:r>
      <w:r>
        <w:rPr>
          <w:rFonts w:ascii="Times New Roman" w:hAnsi="Times New Roman"/>
          <w:caps/>
          <w:szCs w:val="24"/>
          <w:highlight w:val="none"/>
        </w:rPr>
        <w:fldChar w:fldCharType="separate"/>
      </w:r>
      <w:r>
        <w:rPr>
          <w:rFonts w:hint="eastAsia" w:ascii="Times New Roman" w:hAnsi="Times New Roman"/>
          <w:bCs/>
          <w:szCs w:val="28"/>
          <w:highlight w:val="none"/>
        </w:rPr>
        <w:t>附件12 中小企业声明函</w:t>
      </w:r>
      <w:r>
        <w:tab/>
      </w:r>
      <w:r>
        <w:fldChar w:fldCharType="begin"/>
      </w:r>
      <w:r>
        <w:instrText xml:space="preserve"> PAGEREF _Toc31039 \h </w:instrText>
      </w:r>
      <w:r>
        <w:fldChar w:fldCharType="separate"/>
      </w:r>
      <w:r>
        <w:t>59</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A883B4C">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_Toc4833 </w:instrText>
      </w:r>
      <w:r>
        <w:rPr>
          <w:rFonts w:ascii="Times New Roman" w:hAnsi="Times New Roman"/>
          <w:caps/>
          <w:szCs w:val="24"/>
          <w:highlight w:val="none"/>
        </w:rPr>
        <w:fldChar w:fldCharType="separate"/>
      </w:r>
      <w:r>
        <w:rPr>
          <w:rFonts w:hint="eastAsia" w:ascii="Times New Roman" w:hAnsi="Times New Roman"/>
          <w:bCs/>
          <w:szCs w:val="28"/>
          <w:highlight w:val="none"/>
        </w:rPr>
        <w:t>附件13 残疾人福利性单位声明函</w:t>
      </w:r>
      <w:r>
        <w:tab/>
      </w:r>
      <w:r>
        <w:fldChar w:fldCharType="begin"/>
      </w:r>
      <w:r>
        <w:instrText xml:space="preserve"> PAGEREF _Toc4833 \h </w:instrText>
      </w:r>
      <w:r>
        <w:fldChar w:fldCharType="separate"/>
      </w:r>
      <w:r>
        <w:t>63</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3941A07">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_Toc17757 </w:instrText>
      </w:r>
      <w:r>
        <w:rPr>
          <w:rFonts w:ascii="Times New Roman" w:hAnsi="Times New Roman"/>
          <w:caps/>
          <w:szCs w:val="24"/>
          <w:highlight w:val="none"/>
        </w:rPr>
        <w:fldChar w:fldCharType="separate"/>
      </w:r>
      <w:r>
        <w:rPr>
          <w:rFonts w:hint="eastAsia" w:ascii="Times New Roman" w:hAnsi="Times New Roman"/>
          <w:bCs/>
          <w:szCs w:val="28"/>
          <w:highlight w:val="none"/>
        </w:rPr>
        <w:t>附件14 投标函</w:t>
      </w:r>
      <w:r>
        <w:tab/>
      </w:r>
      <w:r>
        <w:fldChar w:fldCharType="begin"/>
      </w:r>
      <w:r>
        <w:instrText xml:space="preserve"> PAGEREF _Toc17757 \h </w:instrText>
      </w:r>
      <w:r>
        <w:fldChar w:fldCharType="separate"/>
      </w:r>
      <w:r>
        <w:t>64</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7A3B0142">
      <w:pPr>
        <w:pStyle w:val="37"/>
        <w:tabs>
          <w:tab w:val="right" w:leader="dot" w:pos="10466"/>
        </w:tabs>
      </w:pPr>
      <w:r>
        <w:rPr>
          <w:rFonts w:ascii="Times New Roman" w:hAnsi="Times New Roman"/>
          <w:caps/>
          <w:color w:val="000000" w:themeColor="text1"/>
          <w:szCs w:val="24"/>
          <w:highlight w:val="none"/>
          <w14:textFill>
            <w14:solidFill>
              <w14:schemeClr w14:val="tx1"/>
            </w14:solidFill>
          </w14:textFill>
        </w:rPr>
        <w:fldChar w:fldCharType="begin"/>
      </w:r>
      <w:r>
        <w:rPr>
          <w:rFonts w:ascii="Times New Roman" w:hAnsi="Times New Roman"/>
          <w:caps/>
          <w:szCs w:val="24"/>
          <w:highlight w:val="none"/>
        </w:rPr>
        <w:instrText xml:space="preserve"> HYPERLINK \l _Toc28335 </w:instrText>
      </w:r>
      <w:r>
        <w:rPr>
          <w:rFonts w:ascii="Times New Roman" w:hAnsi="Times New Roman"/>
          <w:caps/>
          <w:szCs w:val="24"/>
          <w:highlight w:val="none"/>
        </w:rPr>
        <w:fldChar w:fldCharType="separate"/>
      </w:r>
      <w:r>
        <w:rPr>
          <w:rFonts w:hint="eastAsia" w:ascii="Times New Roman" w:hAnsi="Times New Roman"/>
          <w:bCs/>
          <w:szCs w:val="28"/>
          <w:highlight w:val="none"/>
        </w:rPr>
        <w:t>附件15</w:t>
      </w:r>
      <w:r>
        <w:rPr>
          <w:rFonts w:ascii="Times New Roman" w:hAnsi="Times New Roman"/>
          <w:bCs/>
          <w:szCs w:val="28"/>
          <w:highlight w:val="none"/>
        </w:rPr>
        <w:t xml:space="preserve"> </w:t>
      </w:r>
      <w:r>
        <w:rPr>
          <w:rFonts w:hint="eastAsia" w:ascii="Times New Roman" w:hAnsi="Times New Roman"/>
          <w:bCs/>
          <w:szCs w:val="28"/>
          <w:highlight w:val="none"/>
        </w:rPr>
        <w:t>实质性要求响应及偏离表</w:t>
      </w:r>
      <w:r>
        <w:tab/>
      </w:r>
      <w:r>
        <w:fldChar w:fldCharType="begin"/>
      </w:r>
      <w:r>
        <w:instrText xml:space="preserve"> PAGEREF _Toc28335 \h </w:instrText>
      </w:r>
      <w:r>
        <w:fldChar w:fldCharType="separate"/>
      </w:r>
      <w:r>
        <w:t>65</w:t>
      </w:r>
      <w:r>
        <w:fldChar w:fldCharType="end"/>
      </w:r>
      <w:r>
        <w:rPr>
          <w:rFonts w:ascii="Times New Roman" w:hAnsi="Times New Roman"/>
          <w:caps/>
          <w:color w:val="000000" w:themeColor="text1"/>
          <w:szCs w:val="24"/>
          <w:highlight w:val="none"/>
          <w14:textFill>
            <w14:solidFill>
              <w14:schemeClr w14:val="tx1"/>
            </w14:solidFill>
          </w14:textFill>
        </w:rPr>
        <w:fldChar w:fldCharType="end"/>
      </w:r>
    </w:p>
    <w:p w14:paraId="54E645E1">
      <w:pPr>
        <w:spacing w:line="440" w:lineRule="exact"/>
        <w:jc w:val="left"/>
        <w:rPr>
          <w:rFonts w:ascii="Times New Roman" w:hAnsi="Times New Roman"/>
          <w:caps/>
          <w:color w:val="000000" w:themeColor="text1"/>
          <w:sz w:val="24"/>
          <w:szCs w:val="24"/>
          <w:highlight w:val="none"/>
          <w14:textFill>
            <w14:solidFill>
              <w14:schemeClr w14:val="tx1"/>
            </w14:solidFill>
          </w14:textFill>
        </w:rPr>
      </w:pPr>
      <w:r>
        <w:rPr>
          <w:rFonts w:ascii="Times New Roman" w:hAnsi="Times New Roman"/>
          <w:caps/>
          <w:color w:val="000000" w:themeColor="text1"/>
          <w:szCs w:val="24"/>
          <w:highlight w:val="none"/>
          <w14:textFill>
            <w14:solidFill>
              <w14:schemeClr w14:val="tx1"/>
            </w14:solidFill>
          </w14:textFill>
        </w:rPr>
        <w:fldChar w:fldCharType="end"/>
      </w:r>
    </w:p>
    <w:p w14:paraId="74CD3E6B">
      <w:pPr>
        <w:keepNext/>
        <w:ind w:firstLine="880"/>
        <w:jc w:val="center"/>
        <w:outlineLvl w:val="0"/>
        <w:rPr>
          <w:rFonts w:ascii="黑体" w:hAnsi="Times New Roman" w:eastAsia="黑体"/>
          <w:color w:val="000000" w:themeColor="text1"/>
          <w:sz w:val="44"/>
          <w:szCs w:val="44"/>
          <w:highlight w:val="none"/>
          <w14:textFill>
            <w14:solidFill>
              <w14:schemeClr w14:val="tx1"/>
            </w14:solidFill>
          </w14:textFill>
        </w:rPr>
        <w:sectPr>
          <w:footerReference r:id="rId7" w:type="first"/>
          <w:footerReference r:id="rId6" w:type="default"/>
          <w:pgSz w:w="11906" w:h="16838"/>
          <w:pgMar w:top="771" w:right="720" w:bottom="993" w:left="720" w:header="231" w:footer="452" w:gutter="0"/>
          <w:cols w:space="720" w:num="1"/>
          <w:titlePg/>
          <w:docGrid w:linePitch="360" w:charSpace="0"/>
        </w:sectPr>
      </w:pPr>
      <w:bookmarkStart w:id="6" w:name="_Toc17177"/>
      <w:bookmarkStart w:id="7" w:name="_Toc1234"/>
      <w:bookmarkStart w:id="8" w:name="_Toc16473"/>
    </w:p>
    <w:p w14:paraId="3D8787B6">
      <w:pPr>
        <w:keepNext/>
        <w:ind w:firstLine="880"/>
        <w:jc w:val="center"/>
        <w:outlineLvl w:val="0"/>
        <w:rPr>
          <w:rFonts w:ascii="黑体" w:hAnsi="Times New Roman" w:eastAsia="黑体"/>
          <w:bCs/>
          <w:color w:val="000000" w:themeColor="text1"/>
          <w:sz w:val="44"/>
          <w:szCs w:val="44"/>
          <w:highlight w:val="none"/>
          <w14:textFill>
            <w14:solidFill>
              <w14:schemeClr w14:val="tx1"/>
            </w14:solidFill>
          </w14:textFill>
        </w:rPr>
      </w:pPr>
      <w:bookmarkStart w:id="9" w:name="_Toc13698"/>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投标邀请</w:t>
      </w:r>
      <w:bookmarkEnd w:id="6"/>
      <w:bookmarkEnd w:id="7"/>
      <w:bookmarkEnd w:id="8"/>
      <w:bookmarkEnd w:id="9"/>
    </w:p>
    <w:p w14:paraId="52BFCF92">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受常熟市水利工程建设管理中心的委托，苏州新一造价师价格事务所有限公司就昆承湖幸福河湖建设信息化设备(</w:t>
      </w:r>
      <w:r>
        <w:rPr>
          <w:rFonts w:hint="eastAsia" w:ascii="Times New Roman" w:hAnsi="Times New Roman"/>
          <w:color w:val="000000" w:themeColor="text1"/>
          <w:sz w:val="24"/>
          <w:szCs w:val="24"/>
          <w:highlight w:val="none"/>
          <w:lang w:eastAsia="zh-CN"/>
          <w14:textFill>
            <w14:solidFill>
              <w14:schemeClr w14:val="tx1"/>
            </w14:solidFill>
          </w14:textFill>
        </w:rPr>
        <w:t>JSZC-320581-SZXY-G2025-0056</w:t>
      </w:r>
      <w:r>
        <w:rPr>
          <w:rFonts w:hint="eastAsia" w:ascii="宋体" w:hAnsi="宋体"/>
          <w:color w:val="000000" w:themeColor="text1"/>
          <w:sz w:val="24"/>
          <w:szCs w:val="24"/>
          <w:highlight w:val="none"/>
          <w14:textFill>
            <w14:solidFill>
              <w14:schemeClr w14:val="tx1"/>
            </w14:solidFill>
          </w14:textFill>
        </w:rPr>
        <w:t>)项目进行公开招标采购，欢迎符合条件的供应商投标。</w:t>
      </w:r>
    </w:p>
    <w:p w14:paraId="08B8BD81">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项目概况</w:t>
      </w:r>
    </w:p>
    <w:p w14:paraId="15664190">
      <w:pPr>
        <w:pBdr>
          <w:top w:val="single" w:color="000000" w:sz="4" w:space="1"/>
          <w:left w:val="single" w:color="000000" w:sz="4" w:space="4"/>
          <w:bottom w:val="single" w:color="000000" w:sz="4" w:space="1"/>
          <w:right w:val="single" w:color="000000" w:sz="4" w:space="4"/>
        </w:pBd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昆承湖幸福河湖建设信息化设备</w:t>
      </w:r>
      <w:r>
        <w:rPr>
          <w:rFonts w:hint="eastAsia" w:ascii="Times New Roman" w:hAnsi="Times New Roman"/>
          <w:color w:val="000000" w:themeColor="text1"/>
          <w:sz w:val="24"/>
          <w:szCs w:val="24"/>
          <w:highlight w:val="none"/>
          <w14:textFill>
            <w14:solidFill>
              <w14:schemeClr w14:val="tx1"/>
            </w14:solidFill>
          </w14:textFill>
        </w:rPr>
        <w:t>招标项目的潜在投标人应在“</w:t>
      </w:r>
      <w:r>
        <w:rPr>
          <w:rFonts w:ascii="Times New Roman" w:hAnsi="Times New Roman"/>
          <w:color w:val="000000" w:themeColor="text1"/>
          <w:sz w:val="24"/>
          <w:szCs w:val="24"/>
          <w:highlight w:val="none"/>
          <w14:textFill>
            <w14:solidFill>
              <w14:schemeClr w14:val="tx1"/>
            </w14:solidFill>
          </w14:textFill>
        </w:rPr>
        <w:t>苏采云政府采购一体化平台</w:t>
      </w:r>
      <w:r>
        <w:rPr>
          <w:rFonts w:hint="eastAsia" w:ascii="Times New Roman" w:hAnsi="Times New Roman"/>
          <w:color w:val="000000" w:themeColor="text1"/>
          <w:sz w:val="24"/>
          <w:szCs w:val="24"/>
          <w:highlight w:val="none"/>
          <w14:textFill>
            <w14:solidFill>
              <w14:schemeClr w14:val="tx1"/>
            </w14:solidFill>
          </w14:textFill>
        </w:rPr>
        <w:t>”</w:t>
      </w:r>
      <w:r>
        <w:rPr>
          <w:rFonts w:ascii="Times New Roman" w:hAnsi="Times New Roman"/>
          <w:color w:val="000000" w:themeColor="text1"/>
          <w:sz w:val="24"/>
          <w:szCs w:val="24"/>
          <w:highlight w:val="none"/>
          <w14:textFill>
            <w14:solidFill>
              <w14:schemeClr w14:val="tx1"/>
            </w14:solidFill>
          </w14:textFill>
        </w:rPr>
        <w:t>中参与项目</w:t>
      </w:r>
      <w:r>
        <w:rPr>
          <w:rFonts w:hint="eastAsia" w:ascii="Times New Roman" w:hAnsi="Times New Roman"/>
          <w:color w:val="000000" w:themeColor="text1"/>
          <w:sz w:val="24"/>
          <w:szCs w:val="24"/>
          <w:highlight w:val="none"/>
          <w14:textFill>
            <w14:solidFill>
              <w14:schemeClr w14:val="tx1"/>
            </w14:solidFill>
          </w14:textFill>
        </w:rPr>
        <w:t>获取招标文件，并于</w:t>
      </w:r>
      <w:r>
        <w:rPr>
          <w:rFonts w:ascii="Times New Roman" w:hAnsi="Times New Roman"/>
          <w:color w:val="000000" w:themeColor="text1"/>
          <w:sz w:val="24"/>
          <w:szCs w:val="21"/>
          <w:highlight w:val="none"/>
          <w:u w:val="single"/>
          <w14:textFill>
            <w14:solidFill>
              <w14:schemeClr w14:val="tx1"/>
            </w14:solidFill>
          </w14:textFill>
        </w:rPr>
        <w:t>202</w:t>
      </w:r>
      <w:r>
        <w:rPr>
          <w:rFonts w:hint="eastAsia" w:ascii="Times New Roman" w:hAnsi="Times New Roman"/>
          <w:color w:val="000000" w:themeColor="text1"/>
          <w:sz w:val="24"/>
          <w:szCs w:val="21"/>
          <w:highlight w:val="none"/>
          <w:u w:val="single"/>
          <w14:textFill>
            <w14:solidFill>
              <w14:schemeClr w14:val="tx1"/>
            </w14:solidFill>
          </w14:textFill>
        </w:rPr>
        <w:t>5</w:t>
      </w:r>
      <w:r>
        <w:rPr>
          <w:rFonts w:ascii="Times New Roman" w:hAnsi="Times New Roman"/>
          <w:color w:val="000000" w:themeColor="text1"/>
          <w:sz w:val="24"/>
          <w:szCs w:val="21"/>
          <w:highlight w:val="none"/>
          <w:u w:val="single"/>
          <w14:textFill>
            <w14:solidFill>
              <w14:schemeClr w14:val="tx1"/>
            </w14:solidFill>
          </w14:textFill>
        </w:rPr>
        <w:t>年</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12</w:t>
      </w:r>
      <w:r>
        <w:rPr>
          <w:rFonts w:hint="eastAsia" w:ascii="Times New Roman" w:hAnsi="Times New Roman"/>
          <w:color w:val="000000" w:themeColor="text1"/>
          <w:sz w:val="24"/>
          <w:szCs w:val="21"/>
          <w:highlight w:val="none"/>
          <w:u w:val="single"/>
          <w14:textFill>
            <w14:solidFill>
              <w14:schemeClr w14:val="tx1"/>
            </w14:solidFill>
          </w14:textFill>
        </w:rPr>
        <w:t>月</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25</w:t>
      </w:r>
      <w:r>
        <w:rPr>
          <w:rFonts w:hint="eastAsia" w:ascii="Times New Roman" w:hAnsi="Times New Roman"/>
          <w:color w:val="000000" w:themeColor="text1"/>
          <w:sz w:val="24"/>
          <w:szCs w:val="21"/>
          <w:highlight w:val="none"/>
          <w:u w:val="single"/>
          <w14:textFill>
            <w14:solidFill>
              <w14:schemeClr w14:val="tx1"/>
            </w14:solidFill>
          </w14:textFill>
        </w:rPr>
        <w:t>日</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09</w:t>
      </w:r>
      <w:r>
        <w:rPr>
          <w:rFonts w:hint="eastAsia" w:ascii="Times New Roman" w:hAnsi="Times New Roman"/>
          <w:color w:val="000000" w:themeColor="text1"/>
          <w:sz w:val="24"/>
          <w:szCs w:val="21"/>
          <w:highlight w:val="none"/>
          <w:u w:val="single"/>
          <w14:textFill>
            <w14:solidFill>
              <w14:schemeClr w14:val="tx1"/>
            </w14:solidFill>
          </w14:textFill>
        </w:rPr>
        <w:t>点</w:t>
      </w:r>
      <w:r>
        <w:rPr>
          <w:rFonts w:hint="eastAsia" w:ascii="Times New Roman" w:hAnsi="Times New Roman"/>
          <w:color w:val="000000" w:themeColor="text1"/>
          <w:sz w:val="24"/>
          <w:szCs w:val="21"/>
          <w:highlight w:val="none"/>
          <w:u w:val="single"/>
          <w:lang w:val="en-US" w:eastAsia="zh-CN"/>
          <w14:textFill>
            <w14:solidFill>
              <w14:schemeClr w14:val="tx1"/>
            </w14:solidFill>
          </w14:textFill>
        </w:rPr>
        <w:t>00</w:t>
      </w:r>
      <w:r>
        <w:rPr>
          <w:rFonts w:hint="eastAsia" w:ascii="Times New Roman" w:hAnsi="Times New Roman"/>
          <w:color w:val="000000" w:themeColor="text1"/>
          <w:sz w:val="24"/>
          <w:szCs w:val="21"/>
          <w:highlight w:val="none"/>
          <w:u w:val="single"/>
          <w14:textFill>
            <w14:solidFill>
              <w14:schemeClr w14:val="tx1"/>
            </w14:solidFill>
          </w14:textFill>
        </w:rPr>
        <w:t>分（北京时间）</w:t>
      </w:r>
      <w:r>
        <w:rPr>
          <w:rFonts w:hint="eastAsia" w:hAnsi="宋体"/>
          <w:color w:val="000000" w:themeColor="text1"/>
          <w:sz w:val="24"/>
          <w:szCs w:val="21"/>
          <w:highlight w:val="none"/>
          <w14:textFill>
            <w14:solidFill>
              <w14:schemeClr w14:val="tx1"/>
            </w14:solidFill>
          </w14:textFill>
        </w:rPr>
        <w:t>前按规定提交投标</w:t>
      </w:r>
      <w:r>
        <w:rPr>
          <w:rFonts w:hAnsi="宋体"/>
          <w:color w:val="000000" w:themeColor="text1"/>
          <w:sz w:val="24"/>
          <w:szCs w:val="21"/>
          <w:highlight w:val="none"/>
          <w14:textFill>
            <w14:solidFill>
              <w14:schemeClr w14:val="tx1"/>
            </w14:solidFill>
          </w14:textFill>
        </w:rPr>
        <w:t>文件</w:t>
      </w:r>
      <w:r>
        <w:rPr>
          <w:rFonts w:hint="eastAsia" w:hAnsi="宋体"/>
          <w:color w:val="000000" w:themeColor="text1"/>
          <w:sz w:val="24"/>
          <w:szCs w:val="21"/>
          <w:highlight w:val="none"/>
          <w14:textFill>
            <w14:solidFill>
              <w14:schemeClr w14:val="tx1"/>
            </w14:solidFill>
          </w14:textFill>
        </w:rPr>
        <w:t>。</w:t>
      </w:r>
    </w:p>
    <w:p w14:paraId="5F4DEE21">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10" w:name="_Toc38985263"/>
      <w:bookmarkStart w:id="11" w:name="_Toc21970"/>
      <w:bookmarkStart w:id="12" w:name="_Toc3672"/>
      <w:bookmarkStart w:id="13" w:name="_Toc35393621"/>
      <w:bookmarkStart w:id="14" w:name="_Toc28359002"/>
      <w:bookmarkStart w:id="15" w:name="_Toc28359079"/>
      <w:bookmarkStart w:id="16" w:name="_Toc35393790"/>
      <w:bookmarkStart w:id="17" w:name="_Toc4661"/>
      <w:bookmarkStart w:id="18" w:name="_Toc17096"/>
      <w:bookmarkStart w:id="19" w:name="_Hlk24379207"/>
      <w:r>
        <w:rPr>
          <w:rFonts w:ascii="Times New Roman" w:hAnsi="Times New Roman"/>
          <w:b/>
          <w:bCs/>
          <w:color w:val="000000" w:themeColor="text1"/>
          <w:sz w:val="24"/>
          <w:szCs w:val="24"/>
          <w:highlight w:val="none"/>
          <w14:textFill>
            <w14:solidFill>
              <w14:schemeClr w14:val="tx1"/>
            </w14:solidFill>
          </w14:textFill>
        </w:rPr>
        <w:t>一、项目基本情况</w:t>
      </w:r>
      <w:bookmarkEnd w:id="10"/>
      <w:bookmarkEnd w:id="11"/>
      <w:bookmarkEnd w:id="12"/>
      <w:bookmarkEnd w:id="13"/>
      <w:bookmarkEnd w:id="14"/>
      <w:bookmarkEnd w:id="15"/>
      <w:bookmarkEnd w:id="16"/>
      <w:bookmarkEnd w:id="17"/>
      <w:bookmarkEnd w:id="18"/>
    </w:p>
    <w:p w14:paraId="514EB51E">
      <w:pPr>
        <w:spacing w:line="460" w:lineRule="exact"/>
        <w:ind w:firstLine="480"/>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项目编号：</w:t>
      </w:r>
      <w:r>
        <w:rPr>
          <w:rFonts w:hint="eastAsia" w:ascii="宋体" w:hAnsi="宋体"/>
          <w:color w:val="000000" w:themeColor="text1"/>
          <w:sz w:val="24"/>
          <w:szCs w:val="24"/>
          <w:highlight w:val="none"/>
          <w:lang w:eastAsia="zh-CN"/>
          <w14:textFill>
            <w14:solidFill>
              <w14:schemeClr w14:val="tx1"/>
            </w14:solidFill>
          </w14:textFill>
        </w:rPr>
        <w:t>JSZC-320581-SZXY-G2025-0056</w:t>
      </w:r>
    </w:p>
    <w:p w14:paraId="41FE3192">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项目名称：昆承湖幸福河湖建设信息化设备</w:t>
      </w:r>
    </w:p>
    <w:p w14:paraId="33EC7FF7">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采购方式：公开招标</w:t>
      </w:r>
      <w:bookmarkEnd w:id="19"/>
    </w:p>
    <w:p w14:paraId="0F6193A4">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预算金额：人民币408.00万元</w:t>
      </w:r>
    </w:p>
    <w:p w14:paraId="7C85C984">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最高限价（如有）：人民币406.00万元</w:t>
      </w:r>
      <w:bookmarkStart w:id="514" w:name="_GoBack"/>
      <w:bookmarkEnd w:id="514"/>
    </w:p>
    <w:p w14:paraId="0ED008DA">
      <w:pPr>
        <w:spacing w:line="460" w:lineRule="exact"/>
        <w:ind w:firstLine="480"/>
        <w:rPr>
          <w:rFonts w:ascii="宋体" w:hAnsi="宋体"/>
          <w:color w:val="000000" w:themeColor="text1"/>
          <w:sz w:val="24"/>
          <w:szCs w:val="24"/>
          <w:highlight w:val="none"/>
          <w14:textFill>
            <w14:solidFill>
              <w14:schemeClr w14:val="tx1"/>
            </w14:solidFill>
          </w14:textFill>
        </w:rPr>
      </w:pPr>
      <w:bookmarkStart w:id="20" w:name="_Toc35393791"/>
      <w:bookmarkStart w:id="21" w:name="_Toc28359080"/>
      <w:bookmarkStart w:id="22" w:name="_Toc35393622"/>
      <w:bookmarkStart w:id="23" w:name="_Toc38985264"/>
      <w:bookmarkStart w:id="24" w:name="_Toc28359003"/>
      <w:r>
        <w:rPr>
          <w:rFonts w:hint="eastAsia" w:ascii="宋体" w:hAnsi="宋体"/>
          <w:color w:val="000000" w:themeColor="text1"/>
          <w:sz w:val="24"/>
          <w:szCs w:val="24"/>
          <w:highlight w:val="none"/>
          <w14:textFill>
            <w14:solidFill>
              <w14:schemeClr w14:val="tx1"/>
            </w14:solidFill>
          </w14:textFill>
        </w:rPr>
        <w:t>采购需求概况：常熟市水利工程建设管理中心所需的昆承湖幸福河湖建设信息化设备，主要包括水位雨量站、流量站、闸门开度监测站、视频监测站等设备的供货、安装调试等工作。</w:t>
      </w:r>
    </w:p>
    <w:p w14:paraId="6C1B1E13">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合同履行期限：签订合同后，在接到书面进场通知</w:t>
      </w:r>
      <w:r>
        <w:rPr>
          <w:rFonts w:hint="eastAsia" w:ascii="宋体" w:hAnsi="宋体" w:cs="宋体"/>
          <w:color w:val="000000" w:themeColor="text1"/>
          <w:sz w:val="24"/>
          <w:szCs w:val="24"/>
          <w:highlight w:val="none"/>
          <w14:textFill>
            <w14:solidFill>
              <w14:schemeClr w14:val="tx1"/>
            </w14:solidFill>
          </w14:textFill>
        </w:rPr>
        <w:t>40日历天内</w:t>
      </w:r>
      <w:r>
        <w:rPr>
          <w:rFonts w:hint="eastAsia" w:ascii="宋体" w:hAnsi="宋体"/>
          <w:color w:val="000000" w:themeColor="text1"/>
          <w:sz w:val="24"/>
          <w:szCs w:val="24"/>
          <w:highlight w:val="none"/>
          <w14:textFill>
            <w14:solidFill>
              <w14:schemeClr w14:val="tx1"/>
            </w14:solidFill>
          </w14:textFill>
        </w:rPr>
        <w:t>（包括节假日在内）向采购人交付合同约定的货物，并完成安装、调试、验收合格，交付采购人使用。</w:t>
      </w:r>
    </w:p>
    <w:p w14:paraId="41740C23">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本项目不接受联合体投标。</w:t>
      </w:r>
      <w:bookmarkEnd w:id="20"/>
      <w:bookmarkEnd w:id="21"/>
      <w:bookmarkEnd w:id="22"/>
      <w:bookmarkEnd w:id="23"/>
      <w:bookmarkEnd w:id="24"/>
    </w:p>
    <w:p w14:paraId="50401C22">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25" w:name="_Toc25841"/>
      <w:bookmarkStart w:id="26" w:name="_Toc32260"/>
      <w:bookmarkStart w:id="27" w:name="_Toc20955"/>
      <w:bookmarkStart w:id="28" w:name="_Toc28375"/>
      <w:bookmarkStart w:id="29" w:name="_Toc35393792"/>
      <w:bookmarkStart w:id="30" w:name="_Toc28359081"/>
      <w:bookmarkStart w:id="31" w:name="_Toc21588"/>
      <w:bookmarkStart w:id="32" w:name="_Toc28359004"/>
      <w:bookmarkStart w:id="33" w:name="_Toc35393623"/>
      <w:bookmarkStart w:id="34" w:name="_Toc38985265"/>
      <w:r>
        <w:rPr>
          <w:rFonts w:hint="eastAsia" w:ascii="Times New Roman" w:hAnsi="Times New Roman"/>
          <w:b/>
          <w:bCs/>
          <w:color w:val="000000" w:themeColor="text1"/>
          <w:sz w:val="24"/>
          <w:szCs w:val="24"/>
          <w:highlight w:val="none"/>
          <w14:textFill>
            <w14:solidFill>
              <w14:schemeClr w14:val="tx1"/>
            </w14:solidFill>
          </w14:textFill>
        </w:rPr>
        <w:t>二、申请人的资格要求</w:t>
      </w:r>
      <w:bookmarkEnd w:id="25"/>
      <w:bookmarkEnd w:id="26"/>
      <w:bookmarkEnd w:id="27"/>
      <w:bookmarkEnd w:id="28"/>
    </w:p>
    <w:p w14:paraId="1A2BF5E6">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（一）满足《中华人民共和国政府采购法》第二十二条规定；</w:t>
      </w:r>
    </w:p>
    <w:p w14:paraId="77F12B20">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1、具有独立承担民事责任的能力。（法人或者其他组织的营业执照等证明文件）</w:t>
      </w:r>
    </w:p>
    <w:p w14:paraId="054C31F2">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2、具有良好的商业信誉和健全的财务会计制度。（提供最近一期的财务报告（财务报表）或金融机构（中介机构）出具的资信证明）</w:t>
      </w:r>
    </w:p>
    <w:p w14:paraId="363187B5">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3、具有履行合同所必需的设备和专业技术能力。（具备履行合同所必需的设备和专业技术能力的书面声明）</w:t>
      </w:r>
    </w:p>
    <w:p w14:paraId="10760FD0">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有依法缴纳税收和社会保障资金的良好记录。（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67DF56BA">
      <w:pPr>
        <w:spacing w:line="46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5、参加政府采购活动前三年内，在经营活动中没有重大违法记录。（参加政府采购活动前 3 年内在经营活动中没有重大违法记录的书面声明。）</w:t>
      </w:r>
    </w:p>
    <w:p w14:paraId="0883CFA6">
      <w:pPr>
        <w:keepNext/>
        <w:keepLines/>
        <w:spacing w:line="440" w:lineRule="exact"/>
        <w:ind w:firstLine="480"/>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（二）落实政府采购政策需满足的资格要求：</w:t>
      </w:r>
      <w:r>
        <w:rPr>
          <w:rFonts w:hint="eastAsia" w:ascii="宋体" w:hAnsi="宋体" w:cs="宋体"/>
          <w:b/>
          <w:bCs/>
          <w:color w:val="000000" w:themeColor="text1"/>
          <w:sz w:val="24"/>
          <w:szCs w:val="24"/>
          <w:highlight w:val="none"/>
          <w14:textFill>
            <w14:solidFill>
              <w14:schemeClr w14:val="tx1"/>
            </w14:solidFill>
          </w14:textFill>
        </w:rPr>
        <w:t>本项目非专门面向中小企业采购，所属行业为工业。</w:t>
      </w:r>
    </w:p>
    <w:p w14:paraId="3EFB4130">
      <w:pPr>
        <w:keepNext/>
        <w:keepLines/>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（三）本项目的特定资格要求：无。</w:t>
      </w:r>
    </w:p>
    <w:p w14:paraId="79870E00">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35" w:name="_Toc25808"/>
      <w:bookmarkStart w:id="36" w:name="_Toc17182"/>
      <w:bookmarkStart w:id="37" w:name="_Toc4347"/>
      <w:r>
        <w:rPr>
          <w:rFonts w:hint="eastAsia" w:ascii="Times New Roman" w:hAnsi="Times New Roman"/>
          <w:b/>
          <w:bCs/>
          <w:color w:val="000000" w:themeColor="text1"/>
          <w:sz w:val="24"/>
          <w:szCs w:val="24"/>
          <w:highlight w:val="none"/>
          <w14:textFill>
            <w14:solidFill>
              <w14:schemeClr w14:val="tx1"/>
            </w14:solidFill>
          </w14:textFill>
        </w:rPr>
        <w:t>三、获取招标文件</w:t>
      </w:r>
      <w:bookmarkEnd w:id="29"/>
      <w:bookmarkEnd w:id="30"/>
      <w:bookmarkEnd w:id="31"/>
      <w:bookmarkEnd w:id="32"/>
      <w:bookmarkEnd w:id="33"/>
      <w:bookmarkEnd w:id="34"/>
      <w:bookmarkEnd w:id="35"/>
      <w:bookmarkEnd w:id="36"/>
      <w:bookmarkEnd w:id="37"/>
      <w:bookmarkStart w:id="38" w:name="_Toc38985266"/>
      <w:bookmarkStart w:id="39" w:name="_Toc35393624"/>
      <w:bookmarkStart w:id="40" w:name="_Toc28359082"/>
      <w:bookmarkStart w:id="41" w:name="_Toc28359005"/>
      <w:bookmarkStart w:id="42" w:name="_Toc35393793"/>
    </w:p>
    <w:p w14:paraId="3D8781BF">
      <w:pPr>
        <w:keepNext/>
        <w:keepLines/>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时间：自招标文件公告发布之日起5个工作日 </w:t>
      </w:r>
    </w:p>
    <w:p w14:paraId="3354C74D">
      <w:pPr>
        <w:keepNext/>
        <w:keepLines/>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地点：苏采云政府采购一体化平台 </w:t>
      </w:r>
    </w:p>
    <w:p w14:paraId="513C9DA1">
      <w:pPr>
        <w:keepNext/>
        <w:keepLines/>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方式：在“苏采云政府采购一体化平台”自行免费下载采购文件 </w:t>
      </w:r>
    </w:p>
    <w:p w14:paraId="2F46FF0A">
      <w:pPr>
        <w:keepNext/>
        <w:keepLines/>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售价：0.00元 </w:t>
      </w:r>
    </w:p>
    <w:p w14:paraId="71B938E8">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43" w:name="_Toc27568"/>
      <w:bookmarkStart w:id="44" w:name="_Toc5167"/>
      <w:bookmarkStart w:id="45" w:name="_Toc1683"/>
      <w:bookmarkStart w:id="46" w:name="_Toc4556"/>
      <w:r>
        <w:rPr>
          <w:rFonts w:hint="eastAsia" w:ascii="Times New Roman" w:hAnsi="Times New Roman"/>
          <w:b/>
          <w:bCs/>
          <w:color w:val="000000" w:themeColor="text1"/>
          <w:sz w:val="24"/>
          <w:szCs w:val="24"/>
          <w:highlight w:val="none"/>
          <w14:textFill>
            <w14:solidFill>
              <w14:schemeClr w14:val="tx1"/>
            </w14:solidFill>
          </w14:textFill>
        </w:rPr>
        <w:t>四、</w:t>
      </w:r>
      <w:bookmarkEnd w:id="38"/>
      <w:bookmarkEnd w:id="39"/>
      <w:bookmarkEnd w:id="40"/>
      <w:bookmarkEnd w:id="41"/>
      <w:bookmarkEnd w:id="42"/>
      <w:r>
        <w:rPr>
          <w:rFonts w:hint="eastAsia" w:ascii="Times New Roman" w:hAnsi="Times New Roman"/>
          <w:b/>
          <w:bCs/>
          <w:color w:val="000000" w:themeColor="text1"/>
          <w:sz w:val="24"/>
          <w:szCs w:val="24"/>
          <w:highlight w:val="none"/>
          <w14:textFill>
            <w14:solidFill>
              <w14:schemeClr w14:val="tx1"/>
            </w14:solidFill>
          </w14:textFill>
        </w:rPr>
        <w:t>提交投标文件截止时间、开标</w:t>
      </w:r>
      <w:r>
        <w:rPr>
          <w:rFonts w:ascii="Times New Roman" w:hAnsi="Times New Roman"/>
          <w:b/>
          <w:bCs/>
          <w:color w:val="000000" w:themeColor="text1"/>
          <w:sz w:val="24"/>
          <w:szCs w:val="24"/>
          <w:highlight w:val="none"/>
          <w14:textFill>
            <w14:solidFill>
              <w14:schemeClr w14:val="tx1"/>
            </w14:solidFill>
          </w14:textFill>
        </w:rPr>
        <w:t>时间和地点</w:t>
      </w:r>
      <w:bookmarkEnd w:id="43"/>
      <w:bookmarkEnd w:id="44"/>
      <w:bookmarkEnd w:id="45"/>
      <w:bookmarkEnd w:id="46"/>
    </w:p>
    <w:p w14:paraId="12B414FA">
      <w:pPr>
        <w:spacing w:line="440" w:lineRule="exact"/>
        <w:ind w:firstLine="480"/>
        <w:rPr>
          <w:rFonts w:ascii="Times New Roman" w:hAnsi="Times New Roman"/>
          <w:color w:val="000000" w:themeColor="text1"/>
          <w:sz w:val="24"/>
          <w:szCs w:val="24"/>
          <w:highlight w:val="none"/>
          <w14:textFill>
            <w14:solidFill>
              <w14:schemeClr w14:val="tx1"/>
            </w14:solidFill>
          </w14:textFill>
        </w:rPr>
      </w:pPr>
      <w:bookmarkStart w:id="47" w:name="_Toc38985267"/>
      <w:bookmarkStart w:id="48" w:name="_Toc28359084"/>
      <w:bookmarkStart w:id="49" w:name="_Toc35393625"/>
      <w:bookmarkStart w:id="50" w:name="_Toc35393794"/>
      <w:bookmarkStart w:id="51" w:name="_Toc28359007"/>
      <w:r>
        <w:rPr>
          <w:rFonts w:hint="eastAsia" w:ascii="Times New Roman" w:hAnsi="Times New Roman"/>
          <w:color w:val="000000" w:themeColor="text1"/>
          <w:sz w:val="24"/>
          <w:szCs w:val="24"/>
          <w:highlight w:val="none"/>
          <w14:textFill>
            <w14:solidFill>
              <w14:schemeClr w14:val="tx1"/>
            </w14:solidFill>
          </w14:textFill>
        </w:rPr>
        <w:t>时间：2025-</w:t>
      </w:r>
      <w:r>
        <w:rPr>
          <w:rFonts w:hint="eastAsia" w:ascii="Times New Roman" w:hAnsi="Times New Roman"/>
          <w:color w:val="000000" w:themeColor="text1"/>
          <w:sz w:val="24"/>
          <w:szCs w:val="24"/>
          <w:highlight w:val="none"/>
          <w:lang w:val="en-US" w:eastAsia="zh-CN"/>
          <w14:textFill>
            <w14:solidFill>
              <w14:schemeClr w14:val="tx1"/>
            </w14:solidFill>
          </w14:textFill>
        </w:rPr>
        <w:t>12</w:t>
      </w:r>
      <w:r>
        <w:rPr>
          <w:rFonts w:hint="eastAsia" w:ascii="Times New Roman" w:hAnsi="Times New Roman"/>
          <w:color w:val="000000" w:themeColor="text1"/>
          <w:sz w:val="24"/>
          <w:szCs w:val="24"/>
          <w:highlight w:val="none"/>
          <w14:textFill>
            <w14:solidFill>
              <w14:schemeClr w14:val="tx1"/>
            </w14:solidFill>
          </w14:textFill>
        </w:rPr>
        <w:t>-</w:t>
      </w:r>
      <w:r>
        <w:rPr>
          <w:rFonts w:hint="eastAsia" w:ascii="Times New Roman" w:hAnsi="Times New Roman"/>
          <w:color w:val="000000" w:themeColor="text1"/>
          <w:sz w:val="24"/>
          <w:szCs w:val="24"/>
          <w:highlight w:val="none"/>
          <w:lang w:val="en-US" w:eastAsia="zh-CN"/>
          <w14:textFill>
            <w14:solidFill>
              <w14:schemeClr w14:val="tx1"/>
            </w14:solidFill>
          </w14:textFill>
        </w:rPr>
        <w:t>25</w:t>
      </w:r>
      <w:r>
        <w:rPr>
          <w:rFonts w:hint="eastAsia" w:ascii="Times New Roman" w:hAnsi="Times New Roman"/>
          <w:color w:val="000000" w:themeColor="text1"/>
          <w:sz w:val="24"/>
          <w:szCs w:val="24"/>
          <w:highlight w:val="none"/>
          <w14:textFill>
            <w14:solidFill>
              <w14:schemeClr w14:val="tx1"/>
            </w14:solidFill>
          </w14:textFill>
        </w:rPr>
        <w:t xml:space="preserve">  </w:t>
      </w:r>
      <w:r>
        <w:rPr>
          <w:rFonts w:hint="eastAsia" w:ascii="Times New Roman" w:hAnsi="Times New Roman"/>
          <w:color w:val="000000" w:themeColor="text1"/>
          <w:sz w:val="24"/>
          <w:szCs w:val="24"/>
          <w:highlight w:val="none"/>
          <w:lang w:val="en-US" w:eastAsia="zh-CN"/>
          <w14:textFill>
            <w14:solidFill>
              <w14:schemeClr w14:val="tx1"/>
            </w14:solidFill>
          </w14:textFill>
        </w:rPr>
        <w:t>09：</w:t>
      </w:r>
      <w:r>
        <w:rPr>
          <w:rFonts w:hint="eastAsia" w:ascii="Times New Roman" w:hAnsi="Times New Roman"/>
          <w:color w:val="000000" w:themeColor="text1"/>
          <w:sz w:val="24"/>
          <w:szCs w:val="24"/>
          <w:highlight w:val="none"/>
          <w14:textFill>
            <w14:solidFill>
              <w14:schemeClr w14:val="tx1"/>
            </w14:solidFill>
          </w14:textFill>
        </w:rPr>
        <w:t>00（北京时间）</w:t>
      </w:r>
    </w:p>
    <w:p w14:paraId="70734BDF">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地点：苏采云政府采购一体化平台开标大厅</w:t>
      </w:r>
    </w:p>
    <w:p w14:paraId="006B4C58">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52" w:name="_Toc22789"/>
      <w:bookmarkStart w:id="53" w:name="_Toc21009"/>
      <w:bookmarkStart w:id="54" w:name="_Toc8401"/>
      <w:bookmarkStart w:id="55" w:name="_Toc2831"/>
      <w:r>
        <w:rPr>
          <w:rFonts w:hint="eastAsia" w:ascii="Times New Roman" w:hAnsi="Times New Roman"/>
          <w:b/>
          <w:bCs/>
          <w:color w:val="000000" w:themeColor="text1"/>
          <w:sz w:val="24"/>
          <w:szCs w:val="24"/>
          <w:highlight w:val="none"/>
          <w14:textFill>
            <w14:solidFill>
              <w14:schemeClr w14:val="tx1"/>
            </w14:solidFill>
          </w14:textFill>
        </w:rPr>
        <w:t>五、</w:t>
      </w:r>
      <w:bookmarkEnd w:id="47"/>
      <w:bookmarkEnd w:id="48"/>
      <w:bookmarkEnd w:id="49"/>
      <w:bookmarkEnd w:id="50"/>
      <w:bookmarkEnd w:id="51"/>
      <w:r>
        <w:rPr>
          <w:rFonts w:ascii="Times New Roman" w:hAnsi="Times New Roman"/>
          <w:b/>
          <w:bCs/>
          <w:color w:val="000000" w:themeColor="text1"/>
          <w:sz w:val="24"/>
          <w:szCs w:val="24"/>
          <w:highlight w:val="none"/>
          <w14:textFill>
            <w14:solidFill>
              <w14:schemeClr w14:val="tx1"/>
            </w14:solidFill>
          </w14:textFill>
        </w:rPr>
        <w:t>公告</w:t>
      </w:r>
      <w:r>
        <w:rPr>
          <w:rFonts w:hint="eastAsia" w:ascii="Times New Roman" w:hAnsi="Times New Roman"/>
          <w:b/>
          <w:bCs/>
          <w:color w:val="000000" w:themeColor="text1"/>
          <w:sz w:val="24"/>
          <w:szCs w:val="24"/>
          <w:highlight w:val="none"/>
          <w14:textFill>
            <w14:solidFill>
              <w14:schemeClr w14:val="tx1"/>
            </w14:solidFill>
          </w14:textFill>
        </w:rPr>
        <w:t>期限</w:t>
      </w:r>
      <w:bookmarkEnd w:id="52"/>
      <w:bookmarkEnd w:id="53"/>
      <w:bookmarkEnd w:id="54"/>
      <w:bookmarkEnd w:id="55"/>
    </w:p>
    <w:p w14:paraId="5DEF16B7">
      <w:pPr>
        <w:spacing w:line="440" w:lineRule="exact"/>
        <w:ind w:firstLine="480"/>
        <w:rPr>
          <w:rFonts w:ascii="Times New Roman" w:hAnsi="Times New Roman"/>
          <w:color w:val="000000" w:themeColor="text1"/>
          <w:sz w:val="24"/>
          <w:szCs w:val="24"/>
          <w:highlight w:val="none"/>
          <w14:textFill>
            <w14:solidFill>
              <w14:schemeClr w14:val="tx1"/>
            </w14:solidFill>
          </w14:textFill>
        </w:rPr>
      </w:pPr>
      <w:bookmarkStart w:id="56" w:name="_Toc35393626"/>
      <w:bookmarkStart w:id="57" w:name="_Toc38985268"/>
      <w:bookmarkStart w:id="58" w:name="_Toc35393795"/>
      <w:r>
        <w:rPr>
          <w:rFonts w:hint="eastAsia" w:ascii="Times New Roman" w:hAnsi="Times New Roman"/>
          <w:color w:val="000000" w:themeColor="text1"/>
          <w:sz w:val="24"/>
          <w:szCs w:val="24"/>
          <w:highlight w:val="none"/>
          <w14:textFill>
            <w14:solidFill>
              <w14:schemeClr w14:val="tx1"/>
            </w14:solidFill>
          </w14:textFill>
        </w:rPr>
        <w:t>公告期限：自本公告发布之日起5个工作日。</w:t>
      </w:r>
    </w:p>
    <w:p w14:paraId="46A97E83">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59" w:name="_Toc26774"/>
      <w:bookmarkStart w:id="60" w:name="_Toc1945"/>
      <w:bookmarkStart w:id="61" w:name="_Toc3744"/>
      <w:bookmarkStart w:id="62" w:name="_Toc22480"/>
      <w:r>
        <w:rPr>
          <w:rFonts w:hint="eastAsia" w:ascii="Times New Roman" w:hAnsi="Times New Roman"/>
          <w:b/>
          <w:bCs/>
          <w:color w:val="000000" w:themeColor="text1"/>
          <w:sz w:val="24"/>
          <w:szCs w:val="24"/>
          <w:highlight w:val="none"/>
          <w14:textFill>
            <w14:solidFill>
              <w14:schemeClr w14:val="tx1"/>
            </w14:solidFill>
          </w14:textFill>
        </w:rPr>
        <w:t>六、其他补充事宜</w:t>
      </w:r>
      <w:bookmarkEnd w:id="56"/>
      <w:bookmarkEnd w:id="57"/>
      <w:bookmarkEnd w:id="58"/>
      <w:bookmarkEnd w:id="59"/>
      <w:bookmarkEnd w:id="60"/>
      <w:bookmarkEnd w:id="61"/>
      <w:bookmarkEnd w:id="62"/>
    </w:p>
    <w:p w14:paraId="512592B3">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r>
        <w:rPr>
          <w:rFonts w:ascii="宋体" w:hAnsi="宋体"/>
          <w:color w:val="000000" w:themeColor="text1"/>
          <w:sz w:val="24"/>
          <w:szCs w:val="24"/>
          <w:highlight w:val="none"/>
          <w14:textFill>
            <w14:solidFill>
              <w14:schemeClr w14:val="tx1"/>
            </w14:solidFill>
          </w14:textFill>
        </w:rPr>
        <w:t>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2E329891">
      <w:pPr>
        <w:spacing w:line="46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r>
        <w:rPr>
          <w:rFonts w:ascii="宋体" w:hAnsi="宋体"/>
          <w:color w:val="000000" w:themeColor="text1"/>
          <w:sz w:val="24"/>
          <w:szCs w:val="24"/>
          <w:highlight w:val="none"/>
          <w14:textFill>
            <w14:solidFill>
              <w14:schemeClr w14:val="tx1"/>
            </w14:solidFill>
          </w14:textFill>
        </w:rPr>
        <w:t>单位负责人为同一人或者存在直接控股、管理关系的不同供应商，不得参加同一合同项下的政府采购活动。</w:t>
      </w:r>
    </w:p>
    <w:p w14:paraId="5AC7846C">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3、CA证书办理：根据省财政厅《关于更换全省政府采购交易系统C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7C89B6AD">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4、投标人在“苏采云”系统操作过程中如有疑问，请按以下方式联系：</w:t>
      </w:r>
    </w:p>
    <w:p w14:paraId="3C9B7162">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CA技术咨询电话：400-608-6099；电子签章技术咨询电话：15380932027、15371015030、13675197356、13675197221；系统使用指导与咨询电话：18261002950、0512-69820854、0519-86722802。</w:t>
      </w:r>
    </w:p>
    <w:p w14:paraId="0F20C031">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5、有关本次采购的事项若存在变动或修改，敬请及时关注政府采购信息发布媒体上的更正（补充）公告</w:t>
      </w:r>
      <w:bookmarkStart w:id="63" w:name="_Hlk87882297"/>
      <w:r>
        <w:rPr>
          <w:rFonts w:hint="eastAsia" w:ascii="Times New Roman" w:hAnsi="Times New Roman"/>
          <w:color w:val="000000" w:themeColor="text1"/>
          <w:sz w:val="24"/>
          <w:szCs w:val="24"/>
          <w:highlight w:val="none"/>
          <w14:textFill>
            <w14:solidFill>
              <w14:schemeClr w14:val="tx1"/>
            </w14:solidFill>
          </w14:textFill>
        </w:rPr>
        <w:t>，并按规定获取相关信息内容。</w:t>
      </w:r>
      <w:bookmarkEnd w:id="63"/>
    </w:p>
    <w:p w14:paraId="256A55EB">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6、本次采购项目有关时间要求均以北京时间为标准，使用24小时制。</w:t>
      </w:r>
    </w:p>
    <w:p w14:paraId="134E128B">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7、本次招标不收取投标保证金。</w:t>
      </w:r>
    </w:p>
    <w:p w14:paraId="11E4CE09">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8、公告媒体：苏州市政府采购网、江苏政府采购网。</w:t>
      </w:r>
    </w:p>
    <w:p w14:paraId="0D88BBCF">
      <w:pPr>
        <w:keepNext/>
        <w:keepLines/>
        <w:spacing w:line="440" w:lineRule="exact"/>
        <w:ind w:firstLine="482"/>
        <w:outlineLvl w:val="1"/>
        <w:rPr>
          <w:rFonts w:ascii="Times New Roman" w:hAnsi="Times New Roman"/>
          <w:b/>
          <w:bCs/>
          <w:color w:val="000000" w:themeColor="text1"/>
          <w:sz w:val="24"/>
          <w:szCs w:val="24"/>
          <w:highlight w:val="none"/>
          <w14:textFill>
            <w14:solidFill>
              <w14:schemeClr w14:val="tx1"/>
            </w14:solidFill>
          </w14:textFill>
        </w:rPr>
      </w:pPr>
      <w:bookmarkStart w:id="64" w:name="_Toc35393796"/>
      <w:bookmarkStart w:id="65" w:name="_Toc38985269"/>
      <w:bookmarkStart w:id="66" w:name="_Toc35393627"/>
      <w:bookmarkStart w:id="67" w:name="_Toc28359008"/>
      <w:bookmarkStart w:id="68" w:name="_Toc28359085"/>
      <w:bookmarkStart w:id="69" w:name="_Toc4478"/>
      <w:bookmarkStart w:id="70" w:name="_Toc6658"/>
      <w:bookmarkStart w:id="71" w:name="_Toc25299"/>
      <w:bookmarkStart w:id="72" w:name="_Toc1247"/>
      <w:r>
        <w:rPr>
          <w:rFonts w:hint="eastAsia" w:ascii="Times New Roman" w:hAnsi="Times New Roman"/>
          <w:b/>
          <w:bCs/>
          <w:color w:val="000000" w:themeColor="text1"/>
          <w:sz w:val="24"/>
          <w:szCs w:val="24"/>
          <w:highlight w:val="none"/>
          <w14:textFill>
            <w14:solidFill>
              <w14:schemeClr w14:val="tx1"/>
            </w14:solidFill>
          </w14:textFill>
        </w:rPr>
        <w:t>七、本次招标联系</w:t>
      </w:r>
      <w:bookmarkEnd w:id="64"/>
      <w:bookmarkEnd w:id="65"/>
      <w:bookmarkEnd w:id="66"/>
      <w:bookmarkEnd w:id="67"/>
      <w:bookmarkEnd w:id="68"/>
      <w:r>
        <w:rPr>
          <w:rFonts w:hint="eastAsia" w:ascii="Times New Roman" w:hAnsi="Times New Roman"/>
          <w:b/>
          <w:bCs/>
          <w:color w:val="000000" w:themeColor="text1"/>
          <w:sz w:val="24"/>
          <w:szCs w:val="24"/>
          <w:highlight w:val="none"/>
          <w14:textFill>
            <w14:solidFill>
              <w14:schemeClr w14:val="tx1"/>
            </w14:solidFill>
          </w14:textFill>
        </w:rPr>
        <w:t>方式</w:t>
      </w:r>
      <w:bookmarkEnd w:id="69"/>
      <w:bookmarkEnd w:id="70"/>
      <w:bookmarkEnd w:id="71"/>
      <w:bookmarkEnd w:id="72"/>
    </w:p>
    <w:p w14:paraId="5FFB5938">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1、采购人信息</w:t>
      </w:r>
    </w:p>
    <w:p w14:paraId="082FD767">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单位名称：常熟市水利工程建设管理中心</w:t>
      </w:r>
    </w:p>
    <w:p w14:paraId="570DA95D">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单位地址：江苏省苏州市常熟市碧海路1号</w:t>
      </w:r>
    </w:p>
    <w:p w14:paraId="106FFFB2">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联系人：丁宇晖</w:t>
      </w:r>
    </w:p>
    <w:p w14:paraId="37C39681">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联系方式：0512-51530638</w:t>
      </w:r>
    </w:p>
    <w:p w14:paraId="174EBD4D">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2、采购代理机构信息</w:t>
      </w:r>
    </w:p>
    <w:p w14:paraId="1AB5238B">
      <w:pPr>
        <w:spacing w:line="440" w:lineRule="exact"/>
        <w:ind w:firstLine="480"/>
        <w:rPr>
          <w:rFonts w:ascii="Times New Roman" w:hAnsi="Times New Roman"/>
          <w:color w:val="000000" w:themeColor="text1"/>
          <w:sz w:val="24"/>
          <w:szCs w:val="24"/>
          <w:highlight w:val="none"/>
          <w14:textFill>
            <w14:solidFill>
              <w14:schemeClr w14:val="tx1"/>
            </w14:solidFill>
          </w14:textFill>
        </w:rPr>
      </w:pPr>
      <w:bookmarkStart w:id="73" w:name="_Toc28359087"/>
      <w:bookmarkStart w:id="74" w:name="_Toc28359010"/>
      <w:r>
        <w:rPr>
          <w:rFonts w:hint="eastAsia" w:ascii="Times New Roman" w:hAnsi="Times New Roman"/>
          <w:color w:val="000000" w:themeColor="text1"/>
          <w:sz w:val="24"/>
          <w:szCs w:val="24"/>
          <w:highlight w:val="none"/>
          <w14:textFill>
            <w14:solidFill>
              <w14:schemeClr w14:val="tx1"/>
            </w14:solidFill>
          </w14:textFill>
        </w:rPr>
        <w:t>单位名称：苏州新一造价师价格事务所有限公司</w:t>
      </w:r>
    </w:p>
    <w:p w14:paraId="029D44EA">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单位地址：常熟市九里大街5号</w:t>
      </w:r>
    </w:p>
    <w:p w14:paraId="7D0499F6">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联系人：韩忆程</w:t>
      </w:r>
    </w:p>
    <w:p w14:paraId="5FF00E3D">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联系方式：0512-52808032</w:t>
      </w:r>
    </w:p>
    <w:p w14:paraId="4987D95C">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3、项目联系方式</w:t>
      </w:r>
    </w:p>
    <w:p w14:paraId="0A7C22EE">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项目联系人：韩忆程</w:t>
      </w:r>
    </w:p>
    <w:p w14:paraId="074D5BC4">
      <w:pPr>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电话：0512-52808032</w:t>
      </w:r>
      <w:bookmarkEnd w:id="73"/>
      <w:bookmarkEnd w:id="74"/>
    </w:p>
    <w:p w14:paraId="7E58AC59">
      <w:pPr>
        <w:spacing w:line="440" w:lineRule="exact"/>
        <w:ind w:firstLine="480"/>
        <w:rPr>
          <w:rFonts w:ascii="Times New Roman" w:hAnsi="Times New Roman"/>
          <w:color w:val="000000" w:themeColor="text1"/>
          <w:sz w:val="24"/>
          <w:szCs w:val="24"/>
          <w:highlight w:val="none"/>
          <w14:textFill>
            <w14:solidFill>
              <w14:schemeClr w14:val="tx1"/>
            </w14:solidFill>
          </w14:textFill>
        </w:rPr>
      </w:pPr>
    </w:p>
    <w:p w14:paraId="104A6697">
      <w:pPr>
        <w:widowControl/>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p>
    <w:p w14:paraId="5E303F12">
      <w:pPr>
        <w:keepNext/>
        <w:ind w:firstLine="880"/>
        <w:jc w:val="center"/>
        <w:outlineLvl w:val="0"/>
        <w:rPr>
          <w:rFonts w:ascii="黑体" w:hAnsi="Times New Roman" w:eastAsia="黑体"/>
          <w:color w:val="000000" w:themeColor="text1"/>
          <w:sz w:val="44"/>
          <w:szCs w:val="44"/>
          <w:highlight w:val="none"/>
          <w14:textFill>
            <w14:solidFill>
              <w14:schemeClr w14:val="tx1"/>
            </w14:solidFill>
          </w14:textFill>
        </w:rPr>
      </w:pPr>
      <w:bookmarkStart w:id="75" w:name="_Toc120614211"/>
      <w:bookmarkStart w:id="76" w:name="_Toc2828"/>
      <w:bookmarkStart w:id="77" w:name="_Toc31792"/>
      <w:bookmarkStart w:id="78" w:name="_Toc2460"/>
      <w:bookmarkStart w:id="79" w:name="_Toc19697"/>
      <w:r>
        <w:rPr>
          <w:rFonts w:hint="eastAsia" w:ascii="黑体" w:hAnsi="Times New Roman" w:eastAsia="黑体"/>
          <w:color w:val="000000" w:themeColor="text1"/>
          <w:sz w:val="44"/>
          <w:szCs w:val="44"/>
          <w:highlight w:val="none"/>
          <w14:textFill>
            <w14:solidFill>
              <w14:schemeClr w14:val="tx1"/>
            </w14:solidFill>
          </w14:textFill>
        </w:rPr>
        <w:t xml:space="preserve">第二章  </w:t>
      </w:r>
      <w:bookmarkEnd w:id="1"/>
      <w:bookmarkEnd w:id="2"/>
      <w:bookmarkEnd w:id="3"/>
      <w:bookmarkEnd w:id="4"/>
      <w:bookmarkEnd w:id="5"/>
      <w:bookmarkEnd w:id="75"/>
      <w:bookmarkStart w:id="80" w:name="_Toc120614213"/>
      <w:bookmarkStart w:id="81" w:name="_Toc20823274"/>
      <w:bookmarkStart w:id="82" w:name="_Toc513029202"/>
      <w:bookmarkStart w:id="83" w:name="_Toc16938518"/>
      <w:r>
        <w:rPr>
          <w:rFonts w:hint="eastAsia" w:ascii="黑体" w:hAnsi="Times New Roman" w:eastAsia="黑体"/>
          <w:color w:val="000000" w:themeColor="text1"/>
          <w:sz w:val="44"/>
          <w:szCs w:val="44"/>
          <w:highlight w:val="none"/>
          <w14:textFill>
            <w14:solidFill>
              <w14:schemeClr w14:val="tx1"/>
            </w14:solidFill>
          </w14:textFill>
        </w:rPr>
        <w:t>投标人须知</w:t>
      </w:r>
      <w:bookmarkEnd w:id="76"/>
      <w:bookmarkEnd w:id="77"/>
      <w:bookmarkEnd w:id="78"/>
      <w:bookmarkEnd w:id="79"/>
      <w:bookmarkEnd w:id="80"/>
      <w:bookmarkEnd w:id="81"/>
      <w:bookmarkEnd w:id="82"/>
      <w:bookmarkEnd w:id="83"/>
    </w:p>
    <w:p w14:paraId="3EDE93A7">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84" w:name="_Toc20266"/>
      <w:bookmarkStart w:id="85" w:name="_Toc8896"/>
      <w:bookmarkStart w:id="86" w:name="_Toc20823275"/>
      <w:bookmarkStart w:id="87" w:name="_Toc18113"/>
      <w:bookmarkStart w:id="88" w:name="_Toc120614214"/>
      <w:bookmarkStart w:id="89" w:name="_Toc16938519"/>
      <w:bookmarkStart w:id="90" w:name="_Toc513029203"/>
      <w:bookmarkStart w:id="91" w:name="_Toc11119"/>
      <w:r>
        <w:rPr>
          <w:rFonts w:hint="eastAsia" w:ascii="宋体" w:hAnsi="宋体" w:cs="宋体"/>
          <w:b/>
          <w:bCs/>
          <w:color w:val="000000" w:themeColor="text1"/>
          <w:sz w:val="28"/>
          <w:szCs w:val="28"/>
          <w:highlight w:val="none"/>
          <w14:textFill>
            <w14:solidFill>
              <w14:schemeClr w14:val="tx1"/>
            </w14:solidFill>
          </w14:textFill>
        </w:rPr>
        <w:t>一、总则</w:t>
      </w:r>
      <w:bookmarkEnd w:id="84"/>
      <w:bookmarkEnd w:id="85"/>
      <w:bookmarkEnd w:id="86"/>
      <w:bookmarkEnd w:id="87"/>
      <w:bookmarkEnd w:id="88"/>
      <w:bookmarkEnd w:id="89"/>
      <w:bookmarkEnd w:id="90"/>
      <w:bookmarkEnd w:id="91"/>
    </w:p>
    <w:p w14:paraId="0A18BB82">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92" w:name="_Hlt16619475"/>
      <w:bookmarkEnd w:id="92"/>
      <w:bookmarkStart w:id="93" w:name="_Toc458694821"/>
      <w:bookmarkStart w:id="94" w:name="_Toc20823276"/>
      <w:bookmarkStart w:id="95" w:name="_Toc513029204"/>
      <w:bookmarkStart w:id="96" w:name="_Toc16938520"/>
      <w:r>
        <w:rPr>
          <w:rFonts w:hint="eastAsia" w:ascii="宋体" w:hAnsi="宋体" w:cs="宋体"/>
          <w:color w:val="000000" w:themeColor="text1"/>
          <w:sz w:val="24"/>
          <w:szCs w:val="24"/>
          <w:highlight w:val="none"/>
          <w14:textFill>
            <w14:solidFill>
              <w14:schemeClr w14:val="tx1"/>
            </w14:solidFill>
          </w14:textFill>
        </w:rPr>
        <w:t>1</w:t>
      </w:r>
      <w:bookmarkEnd w:id="93"/>
      <w:r>
        <w:rPr>
          <w:rFonts w:hint="eastAsia" w:ascii="宋体" w:hAnsi="宋体" w:cs="宋体"/>
          <w:color w:val="000000" w:themeColor="text1"/>
          <w:sz w:val="24"/>
          <w:szCs w:val="24"/>
          <w:highlight w:val="none"/>
          <w14:textFill>
            <w14:solidFill>
              <w14:schemeClr w14:val="tx1"/>
            </w14:solidFill>
          </w14:textFill>
        </w:rPr>
        <w:t>、采购方式</w:t>
      </w:r>
      <w:bookmarkEnd w:id="94"/>
      <w:bookmarkEnd w:id="95"/>
      <w:bookmarkEnd w:id="96"/>
      <w:r>
        <w:rPr>
          <w:rFonts w:hint="eastAsia" w:ascii="宋体" w:hAnsi="宋体" w:cs="宋体"/>
          <w:color w:val="000000" w:themeColor="text1"/>
          <w:sz w:val="24"/>
          <w:szCs w:val="24"/>
          <w:highlight w:val="none"/>
          <w14:textFill>
            <w14:solidFill>
              <w14:schemeClr w14:val="tx1"/>
            </w14:solidFill>
          </w14:textFill>
        </w:rPr>
        <w:t>及适用法律</w:t>
      </w:r>
    </w:p>
    <w:p w14:paraId="5616DB4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本次招标采取公开招标方式，本招标文件仅适用于招标公告中所述项目。</w:t>
      </w:r>
    </w:p>
    <w:p w14:paraId="245EB87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 本次招标及由此产生的合同受中华人民共和国有关的法律法规制约和保护。</w:t>
      </w:r>
    </w:p>
    <w:p w14:paraId="5186D89B">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2、定义</w:t>
      </w:r>
    </w:p>
    <w:p w14:paraId="24D50ABF">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“采购人”系指购买本项目货物并接受相关服务的国家机关、事业单位、团体组织。</w:t>
      </w:r>
    </w:p>
    <w:p w14:paraId="50300EE0">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“采购代理机构”系指依法接受采购人委托，从事货物和服务等政府采购业务的采购代理机构（以下简称“代理机构”）。本项目采购代理机构为苏州新一造价师价格事务所有限公司。</w:t>
      </w:r>
    </w:p>
    <w:p w14:paraId="19A949C7">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 “投标人”系指响应招标、参加投标竞争的供应商。</w:t>
      </w:r>
    </w:p>
    <w:p w14:paraId="2247F443">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97" w:name="_Toc20823277"/>
      <w:bookmarkStart w:id="98" w:name="_Toc16938521"/>
      <w:bookmarkStart w:id="99" w:name="_Toc513029205"/>
      <w:r>
        <w:rPr>
          <w:rFonts w:hint="eastAsia" w:ascii="宋体" w:hAnsi="宋体" w:cs="宋体"/>
          <w:color w:val="000000" w:themeColor="text1"/>
          <w:sz w:val="24"/>
          <w:szCs w:val="24"/>
          <w:highlight w:val="none"/>
          <w14:textFill>
            <w14:solidFill>
              <w14:schemeClr w14:val="tx1"/>
            </w14:solidFill>
          </w14:textFill>
        </w:rPr>
        <w:t>3、合格的投标人</w:t>
      </w:r>
      <w:bookmarkEnd w:id="97"/>
      <w:bookmarkEnd w:id="98"/>
      <w:bookmarkEnd w:id="99"/>
    </w:p>
    <w:p w14:paraId="26DAD01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满足招标公告中供应商的资格要求的规定，详见《第一章 投标邀请》中投标人资格要求。</w:t>
      </w:r>
    </w:p>
    <w:p w14:paraId="40F2E45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满足本文件实质性要求和条件的规定。</w:t>
      </w:r>
    </w:p>
    <w:p w14:paraId="2243D278">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00" w:name="_Toc16938523"/>
      <w:bookmarkStart w:id="101" w:name="_Toc513029207"/>
      <w:bookmarkStart w:id="102" w:name="_Toc462564067"/>
      <w:bookmarkStart w:id="103" w:name="_Toc20823279"/>
      <w:r>
        <w:rPr>
          <w:rFonts w:hint="eastAsia" w:ascii="宋体" w:hAnsi="宋体" w:cs="宋体"/>
          <w:color w:val="000000" w:themeColor="text1"/>
          <w:sz w:val="24"/>
          <w:szCs w:val="24"/>
          <w:highlight w:val="none"/>
          <w14:textFill>
            <w14:solidFill>
              <w14:schemeClr w14:val="tx1"/>
            </w14:solidFill>
          </w14:textFill>
        </w:rPr>
        <w:t>4、投标费用</w:t>
      </w:r>
      <w:bookmarkEnd w:id="100"/>
      <w:bookmarkEnd w:id="101"/>
      <w:bookmarkEnd w:id="102"/>
      <w:bookmarkEnd w:id="103"/>
    </w:p>
    <w:p w14:paraId="49B60EB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 无论投标过程中的做法和结果如何，投标人应自行承担所有与准备和参加投标有关的全部费用。</w:t>
      </w:r>
    </w:p>
    <w:p w14:paraId="66D88E13">
      <w:pPr>
        <w:spacing w:line="440" w:lineRule="exact"/>
        <w:ind w:firstLine="789"/>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 </w:t>
      </w:r>
      <w:r>
        <w:rPr>
          <w:rFonts w:hint="eastAsia" w:ascii="宋体" w:hAnsi="宋体" w:cs="宋体"/>
          <w:b/>
          <w:color w:val="000000" w:themeColor="text1"/>
          <w:sz w:val="24"/>
          <w:szCs w:val="24"/>
          <w:highlight w:val="none"/>
          <w14:textFill>
            <w14:solidFill>
              <w14:schemeClr w14:val="tx1"/>
            </w14:solidFill>
          </w14:textFill>
        </w:rPr>
        <w:t>本次招标不收取采购文件工本费</w:t>
      </w:r>
    </w:p>
    <w:p w14:paraId="71135FD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4.3 </w:t>
      </w:r>
      <w:r>
        <w:rPr>
          <w:rFonts w:hint="eastAsia" w:ascii="宋体" w:hAnsi="宋体" w:cs="宋体"/>
          <w:b/>
          <w:color w:val="000000" w:themeColor="text1"/>
          <w:sz w:val="24"/>
          <w:szCs w:val="24"/>
          <w:highlight w:val="none"/>
          <w14:textFill>
            <w14:solidFill>
              <w14:schemeClr w14:val="tx1"/>
            </w14:solidFill>
          </w14:textFill>
        </w:rPr>
        <w:t>采购代理服务费用：</w:t>
      </w:r>
    </w:p>
    <w:p w14:paraId="1EA1551E">
      <w:pPr>
        <w:spacing w:line="440" w:lineRule="exact"/>
        <w:ind w:firstLine="79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本项目中标服务费由中标人支付，在采购代理机构发中标通知书时由中标人向采购代理机构支付中标服务费3</w:t>
      </w:r>
      <w:r>
        <w:rPr>
          <w:rFonts w:hint="eastAsia" w:ascii="宋体" w:hAnsi="宋体" w:cs="宋体"/>
          <w:b/>
          <w:color w:val="000000" w:themeColor="text1"/>
          <w:sz w:val="24"/>
          <w:szCs w:val="24"/>
          <w:highlight w:val="none"/>
          <w:lang w:val="en-US" w:eastAsia="zh-CN"/>
          <w14:textFill>
            <w14:solidFill>
              <w14:schemeClr w14:val="tx1"/>
            </w14:solidFill>
          </w14:textFill>
        </w:rPr>
        <w:t>5</w:t>
      </w:r>
      <w:r>
        <w:rPr>
          <w:rFonts w:hint="eastAsia" w:ascii="宋体" w:hAnsi="宋体" w:cs="宋体"/>
          <w:b/>
          <w:color w:val="000000" w:themeColor="text1"/>
          <w:sz w:val="24"/>
          <w:szCs w:val="24"/>
          <w:highlight w:val="none"/>
          <w14:textFill>
            <w14:solidFill>
              <w14:schemeClr w14:val="tx1"/>
            </w14:solidFill>
          </w14:textFill>
        </w:rPr>
        <w:t>200.00元整，一次性付清。</w:t>
      </w:r>
    </w:p>
    <w:p w14:paraId="6A13EBA2">
      <w:pPr>
        <w:spacing w:line="440" w:lineRule="exact"/>
        <w:ind w:firstLine="79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账户名：苏州新一造价师价格事务所有限公司常熟分公司</w:t>
      </w:r>
    </w:p>
    <w:p w14:paraId="33C48877">
      <w:pPr>
        <w:spacing w:line="440" w:lineRule="exact"/>
        <w:ind w:firstLine="79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开户银行：常熟农商行开发区支行</w:t>
      </w:r>
    </w:p>
    <w:p w14:paraId="712C64BD">
      <w:pPr>
        <w:spacing w:line="440" w:lineRule="exact"/>
        <w:ind w:firstLine="790"/>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账号：101280001017827625</w:t>
      </w:r>
    </w:p>
    <w:p w14:paraId="39672F60">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5、招标文件的约束力</w:t>
      </w:r>
    </w:p>
    <w:p w14:paraId="3A0E9FB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投标人一旦参加本项目采购活动，即被认为接受了本招标文件的规定和约束。</w:t>
      </w:r>
    </w:p>
    <w:p w14:paraId="2275F80A">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104" w:name="_Toc22648"/>
      <w:bookmarkStart w:id="105" w:name="_Toc513029209"/>
      <w:bookmarkStart w:id="106" w:name="_Toc27390"/>
      <w:bookmarkStart w:id="107" w:name="_Toc16938525"/>
      <w:bookmarkStart w:id="108" w:name="_Toc26596"/>
      <w:bookmarkStart w:id="109" w:name="_Toc20823281"/>
      <w:bookmarkStart w:id="110" w:name="_Toc120614215"/>
      <w:bookmarkStart w:id="111" w:name="_Toc16007"/>
      <w:r>
        <w:rPr>
          <w:rFonts w:hint="eastAsia" w:ascii="宋体" w:hAnsi="宋体" w:cs="宋体"/>
          <w:b/>
          <w:bCs/>
          <w:color w:val="000000" w:themeColor="text1"/>
          <w:sz w:val="28"/>
          <w:szCs w:val="28"/>
          <w:highlight w:val="none"/>
          <w14:textFill>
            <w14:solidFill>
              <w14:schemeClr w14:val="tx1"/>
            </w14:solidFill>
          </w14:textFill>
        </w:rPr>
        <w:t>二、招标文件</w:t>
      </w:r>
      <w:bookmarkEnd w:id="104"/>
      <w:bookmarkEnd w:id="105"/>
      <w:bookmarkEnd w:id="106"/>
      <w:bookmarkEnd w:id="107"/>
      <w:bookmarkEnd w:id="108"/>
      <w:bookmarkEnd w:id="109"/>
      <w:bookmarkEnd w:id="110"/>
      <w:bookmarkEnd w:id="111"/>
    </w:p>
    <w:p w14:paraId="16ADD33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12" w:name="_Toc16938526"/>
      <w:bookmarkStart w:id="113" w:name="_Toc20823282"/>
      <w:bookmarkStart w:id="114" w:name="_Toc513029210"/>
      <w:r>
        <w:rPr>
          <w:rFonts w:hint="eastAsia" w:ascii="宋体" w:hAnsi="宋体" w:cs="宋体"/>
          <w:color w:val="000000" w:themeColor="text1"/>
          <w:sz w:val="24"/>
          <w:szCs w:val="24"/>
          <w:highlight w:val="none"/>
          <w14:textFill>
            <w14:solidFill>
              <w14:schemeClr w14:val="tx1"/>
            </w14:solidFill>
          </w14:textFill>
        </w:rPr>
        <w:t>1、招标文件构成</w:t>
      </w:r>
      <w:bookmarkEnd w:id="112"/>
      <w:bookmarkEnd w:id="113"/>
      <w:bookmarkEnd w:id="114"/>
    </w:p>
    <w:p w14:paraId="539A58D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1.1</w:t>
      </w:r>
      <w:r>
        <w:rPr>
          <w:rFonts w:hint="eastAsia" w:ascii="宋体" w:hAnsi="宋体" w:cs="宋体"/>
          <w:color w:val="000000" w:themeColor="text1"/>
          <w:sz w:val="24"/>
          <w:szCs w:val="24"/>
          <w:highlight w:val="none"/>
          <w14:textFill>
            <w14:solidFill>
              <w14:schemeClr w14:val="tx1"/>
            </w14:solidFill>
          </w14:textFill>
        </w:rPr>
        <w:t xml:space="preserve"> 招标文件由以下部分组成：</w:t>
      </w:r>
    </w:p>
    <w:p w14:paraId="6B06CDC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（1）投标邀请</w:t>
      </w:r>
    </w:p>
    <w:p w14:paraId="02D17427">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（2）投标人须知</w:t>
      </w:r>
    </w:p>
    <w:p w14:paraId="7651768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（3）合同文本</w:t>
      </w:r>
    </w:p>
    <w:p w14:paraId="19CD371B">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（4）采购需求</w:t>
      </w:r>
    </w:p>
    <w:p w14:paraId="7CE5161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（5）评标方法与评标标准</w:t>
      </w:r>
    </w:p>
    <w:p w14:paraId="673F191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（6）投标文件格式</w:t>
      </w:r>
    </w:p>
    <w:p w14:paraId="235C6DBF">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请仔细检查招标文件是否齐全，如有缺漏请立即与代理机构联系解决。</w:t>
      </w:r>
    </w:p>
    <w:p w14:paraId="070801AE">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FAC1904">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 招标文件及其更正事项如不是直接从指定媒体地址下载获得的，采购人或代理机构对招标文件及其补遗的真实性、完整性不承担任何责任。</w:t>
      </w:r>
    </w:p>
    <w:p w14:paraId="5C8A6DA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15" w:name="_Toc513029211"/>
      <w:bookmarkStart w:id="116" w:name="_Toc462564070"/>
      <w:bookmarkStart w:id="117" w:name="_Toc16938527"/>
      <w:bookmarkStart w:id="118" w:name="_Toc20823283"/>
      <w:r>
        <w:rPr>
          <w:rFonts w:hint="eastAsia" w:ascii="宋体" w:hAnsi="宋体" w:cs="宋体"/>
          <w:color w:val="000000" w:themeColor="text1"/>
          <w:sz w:val="24"/>
          <w:szCs w:val="24"/>
          <w:highlight w:val="none"/>
          <w14:textFill>
            <w14:solidFill>
              <w14:schemeClr w14:val="tx1"/>
            </w14:solidFill>
          </w14:textFill>
        </w:rPr>
        <w:t>2、招标文件的澄清、修改</w:t>
      </w:r>
    </w:p>
    <w:p w14:paraId="002A7915">
      <w:pPr>
        <w:spacing w:line="440" w:lineRule="exact"/>
        <w:ind w:firstLine="789"/>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2.1 出于实际需要或澄清投标人问题的情况下，代理机构可对已发出的招标文件进行必要的澄清或者修改，并将在指定媒体上发布。</w:t>
      </w:r>
      <w:r>
        <w:rPr>
          <w:rFonts w:hint="eastAsia" w:ascii="宋体" w:hAnsi="宋体" w:cs="宋体"/>
          <w:b/>
          <w:bCs/>
          <w:color w:val="000000" w:themeColor="text1"/>
          <w:sz w:val="24"/>
          <w:szCs w:val="24"/>
          <w:highlight w:val="none"/>
          <w14:textFill>
            <w14:solidFill>
              <w14:schemeClr w14:val="tx1"/>
            </w14:solidFill>
          </w14:textFill>
        </w:rPr>
        <w:t>各投标人应在投标截止时间前关注</w:t>
      </w:r>
      <w:r>
        <w:rPr>
          <w:rFonts w:hint="eastAsia" w:ascii="Times New Roman" w:hAnsi="Times New Roman"/>
          <w:b/>
          <w:bCs/>
          <w:color w:val="000000" w:themeColor="text1"/>
          <w:sz w:val="24"/>
          <w:szCs w:val="24"/>
          <w:highlight w:val="none"/>
          <w14:textFill>
            <w14:solidFill>
              <w14:schemeClr w14:val="tx1"/>
            </w14:solidFill>
          </w14:textFill>
        </w:rPr>
        <w:t>政府采购信息发布媒体上</w:t>
      </w:r>
      <w:r>
        <w:rPr>
          <w:rFonts w:hint="eastAsia" w:ascii="宋体" w:hAnsi="宋体" w:cs="宋体"/>
          <w:b/>
          <w:bCs/>
          <w:color w:val="000000" w:themeColor="text1"/>
          <w:sz w:val="24"/>
          <w:szCs w:val="24"/>
          <w:highlight w:val="none"/>
          <w14:textFill>
            <w14:solidFill>
              <w14:schemeClr w14:val="tx1"/>
            </w14:solidFill>
          </w14:textFill>
        </w:rPr>
        <w:t>“补充通知”栏，按规定获取相关信息内容，否则其投标风险由投标人承担。</w:t>
      </w:r>
    </w:p>
    <w:p w14:paraId="351784D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代理机构有权按照法定的要求顺延投标截止时间和开标时间。</w:t>
      </w:r>
    </w:p>
    <w:p w14:paraId="15EB8E54">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 有关澄清或者修改的内容将作为招标文件的组成部分，对所有投标人具有约束力。</w:t>
      </w:r>
      <w:bookmarkEnd w:id="115"/>
      <w:bookmarkEnd w:id="116"/>
      <w:bookmarkEnd w:id="117"/>
      <w:bookmarkEnd w:id="118"/>
    </w:p>
    <w:p w14:paraId="0D02E164">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119" w:name="_Toc20196"/>
      <w:bookmarkStart w:id="120" w:name="_Toc120614216"/>
      <w:bookmarkStart w:id="121" w:name="_Toc462564072"/>
      <w:bookmarkStart w:id="122" w:name="_Toc20823285"/>
      <w:bookmarkStart w:id="123" w:name="_Toc22408"/>
      <w:bookmarkStart w:id="124" w:name="_Toc17779"/>
      <w:bookmarkStart w:id="125" w:name="_Toc513029213"/>
      <w:bookmarkStart w:id="126" w:name="_Toc16938529"/>
      <w:bookmarkStart w:id="127" w:name="_Toc16762"/>
      <w:r>
        <w:rPr>
          <w:rFonts w:hint="eastAsia" w:ascii="宋体" w:hAnsi="宋体" w:cs="宋体"/>
          <w:b/>
          <w:bCs/>
          <w:color w:val="000000" w:themeColor="text1"/>
          <w:sz w:val="28"/>
          <w:szCs w:val="28"/>
          <w:highlight w:val="none"/>
          <w14:textFill>
            <w14:solidFill>
              <w14:schemeClr w14:val="tx1"/>
            </w14:solidFill>
          </w14:textFill>
        </w:rPr>
        <w:t>三、投标文件的编制</w:t>
      </w:r>
      <w:bookmarkEnd w:id="119"/>
      <w:bookmarkEnd w:id="120"/>
      <w:bookmarkEnd w:id="121"/>
      <w:bookmarkEnd w:id="122"/>
      <w:bookmarkEnd w:id="123"/>
      <w:bookmarkEnd w:id="124"/>
      <w:bookmarkEnd w:id="125"/>
      <w:bookmarkEnd w:id="126"/>
      <w:bookmarkEnd w:id="127"/>
    </w:p>
    <w:p w14:paraId="27DC6D4E">
      <w:pPr>
        <w:keepNext/>
        <w:keepLines/>
        <w:spacing w:line="440" w:lineRule="exact"/>
        <w:ind w:firstLine="480"/>
        <w:outlineLvl w:val="3"/>
        <w:rPr>
          <w:rFonts w:ascii="宋体" w:hAnsi="宋体" w:cs="宋体"/>
          <w:b/>
          <w:color w:val="000000" w:themeColor="text1"/>
          <w:sz w:val="24"/>
          <w:szCs w:val="24"/>
          <w:highlight w:val="none"/>
          <w14:textFill>
            <w14:solidFill>
              <w14:schemeClr w14:val="tx1"/>
            </w14:solidFill>
          </w14:textFill>
        </w:rPr>
      </w:pPr>
      <w:bookmarkStart w:id="128" w:name="_Toc462564073"/>
      <w:bookmarkStart w:id="129" w:name="_Toc513029214"/>
      <w:bookmarkStart w:id="130" w:name="_Toc16938530"/>
      <w:bookmarkStart w:id="131" w:name="_Toc20823286"/>
      <w:r>
        <w:rPr>
          <w:rFonts w:hint="eastAsia" w:ascii="宋体" w:hAnsi="宋体" w:cs="宋体"/>
          <w:color w:val="000000" w:themeColor="text1"/>
          <w:sz w:val="24"/>
          <w:szCs w:val="24"/>
          <w:highlight w:val="none"/>
          <w14:textFill>
            <w14:solidFill>
              <w14:schemeClr w14:val="tx1"/>
            </w14:solidFill>
          </w14:textFill>
        </w:rPr>
        <w:t>1、投标文件的语言及度量衡单位</w:t>
      </w:r>
      <w:bookmarkEnd w:id="128"/>
      <w:bookmarkEnd w:id="129"/>
      <w:bookmarkEnd w:id="130"/>
      <w:bookmarkEnd w:id="131"/>
    </w:p>
    <w:p w14:paraId="7E816EE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投标人提交的投标文件以及投标人与代理机构就有关投标的所有来往通知、函件和文件均应使用</w:t>
      </w:r>
      <w:r>
        <w:rPr>
          <w:rFonts w:hint="eastAsia" w:ascii="宋体" w:hAnsi="宋体" w:cs="宋体"/>
          <w:b/>
          <w:bCs/>
          <w:color w:val="000000" w:themeColor="text1"/>
          <w:sz w:val="24"/>
          <w:szCs w:val="24"/>
          <w:highlight w:val="none"/>
          <w14:textFill>
            <w14:solidFill>
              <w14:schemeClr w14:val="tx1"/>
            </w14:solidFill>
          </w14:textFill>
        </w:rPr>
        <w:t>简体中文</w:t>
      </w:r>
      <w:r>
        <w:rPr>
          <w:rFonts w:hint="eastAsia" w:ascii="宋体" w:hAnsi="宋体" w:cs="宋体"/>
          <w:color w:val="000000" w:themeColor="text1"/>
          <w:sz w:val="24"/>
          <w:szCs w:val="24"/>
          <w:highlight w:val="none"/>
          <w14:textFill>
            <w14:solidFill>
              <w14:schemeClr w14:val="tx1"/>
            </w14:solidFill>
          </w14:textFill>
        </w:rPr>
        <w:t>。</w:t>
      </w:r>
    </w:p>
    <w:p w14:paraId="70ED551F">
      <w:pPr>
        <w:spacing w:line="440" w:lineRule="exact"/>
        <w:ind w:firstLine="789"/>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 除技术性能另有规定外，投标文件所使用的度量衡单位，均须采用国家法定计量单位。</w:t>
      </w:r>
    </w:p>
    <w:p w14:paraId="5951196F">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32" w:name="_Toc20823287"/>
      <w:bookmarkStart w:id="133" w:name="_Toc16938531"/>
      <w:bookmarkStart w:id="134" w:name="_Toc462564074"/>
      <w:bookmarkStart w:id="135" w:name="_Toc513029215"/>
      <w:r>
        <w:rPr>
          <w:rFonts w:hint="eastAsia" w:ascii="宋体" w:hAnsi="宋体" w:cs="宋体"/>
          <w:color w:val="000000" w:themeColor="text1"/>
          <w:sz w:val="24"/>
          <w:szCs w:val="24"/>
          <w:highlight w:val="none"/>
          <w14:textFill>
            <w14:solidFill>
              <w14:schemeClr w14:val="tx1"/>
            </w14:solidFill>
          </w14:textFill>
        </w:rPr>
        <w:t>2、投标文件构成</w:t>
      </w:r>
      <w:bookmarkEnd w:id="132"/>
      <w:bookmarkEnd w:id="133"/>
      <w:bookmarkEnd w:id="134"/>
      <w:bookmarkEnd w:id="135"/>
    </w:p>
    <w:p w14:paraId="57E2EB5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投标人编写的投标文件应包括资格证明文件、开标一览表、报价明细表、投标函、服务（或商务）要求响应及偏离表、项目实施方案、其他证明文件等部分。</w:t>
      </w:r>
    </w:p>
    <w:p w14:paraId="44BD6A0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如标书制作工具中格式和内容与指定媒体发布的招标文件不一致，请以指定媒体发布的招标文件为准。</w:t>
      </w:r>
    </w:p>
    <w:p w14:paraId="03D67EAF">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36" w:name="_Hlt26668975"/>
      <w:bookmarkEnd w:id="136"/>
      <w:bookmarkStart w:id="137" w:name="_Hlt26954838"/>
      <w:bookmarkEnd w:id="137"/>
      <w:bookmarkStart w:id="138" w:name="_Hlt26670360"/>
      <w:bookmarkEnd w:id="138"/>
      <w:bookmarkStart w:id="139" w:name="_Toc14577354"/>
      <w:bookmarkStart w:id="140" w:name="_Toc49090509"/>
      <w:bookmarkStart w:id="141" w:name="_Toc513029216"/>
      <w:bookmarkStart w:id="142" w:name="_Toc49090507"/>
      <w:bookmarkStart w:id="143" w:name="_Toc513029219"/>
      <w:bookmarkStart w:id="144" w:name="_Toc14577357"/>
      <w:bookmarkStart w:id="145" w:name="_Toc49090508"/>
      <w:bookmarkStart w:id="146" w:name="_Toc14577355"/>
      <w:r>
        <w:rPr>
          <w:rFonts w:hint="eastAsia" w:ascii="宋体" w:hAnsi="宋体" w:cs="宋体"/>
          <w:color w:val="000000" w:themeColor="text1"/>
          <w:sz w:val="24"/>
          <w:szCs w:val="24"/>
          <w:highlight w:val="none"/>
          <w14:textFill>
            <w14:solidFill>
              <w14:schemeClr w14:val="tx1"/>
            </w14:solidFill>
          </w14:textFill>
        </w:rPr>
        <w:t>3、证明投标人及投标标的符合招标文件规定的文件</w:t>
      </w:r>
      <w:bookmarkEnd w:id="139"/>
      <w:bookmarkEnd w:id="140"/>
      <w:bookmarkEnd w:id="141"/>
      <w:bookmarkEnd w:id="142"/>
      <w:bookmarkEnd w:id="143"/>
      <w:bookmarkEnd w:id="144"/>
    </w:p>
    <w:p w14:paraId="44AD651E">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投标人应按照招标文件要求提交证明文件，证明其及投标标的符合招标文件规定。</w:t>
      </w:r>
    </w:p>
    <w:p w14:paraId="0B3CE9D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3.2招标文件对证明文件无明确形式要求的，证明文件可以以文字资料、图纸和数据等形式提交。</w:t>
      </w:r>
      <w:bookmarkEnd w:id="145"/>
      <w:bookmarkEnd w:id="146"/>
    </w:p>
    <w:p w14:paraId="27A648DA">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4、投标函和开标一览表</w:t>
      </w:r>
    </w:p>
    <w:p w14:paraId="0B7099B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 投标人应按照招标文件中提供的格式完整、正确填写投标函、开标一览表。</w:t>
      </w:r>
    </w:p>
    <w:p w14:paraId="4F5A83E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对于采用货币报价的项目，开标一览表中的投标总报价应与报价明细表中的投标总报价一致，如不一致不作为无效投标处理，但评标时按开标一览表中价格为准。</w:t>
      </w:r>
    </w:p>
    <w:p w14:paraId="21726B37">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5、报价明细表</w:t>
      </w:r>
    </w:p>
    <w:p w14:paraId="67CA926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投标人应按照招标文件规定格式填报报价明细表。</w:t>
      </w:r>
    </w:p>
    <w:p w14:paraId="0B428E8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5.2 投标货币。投标文件中的单价和总价无特殊规定的采用人民币报价，以元为单位标注。招标文件中另有规定的按规定执行。</w:t>
      </w:r>
    </w:p>
    <w:p w14:paraId="46B23A3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47" w:name="_Hlt26954848"/>
      <w:bookmarkEnd w:id="147"/>
      <w:bookmarkStart w:id="148" w:name="_Hlt26954731"/>
      <w:bookmarkEnd w:id="148"/>
      <w:bookmarkStart w:id="149" w:name="_Hlt26954846"/>
      <w:bookmarkEnd w:id="149"/>
      <w:bookmarkStart w:id="150" w:name="_Hlt26670486"/>
      <w:bookmarkEnd w:id="150"/>
      <w:bookmarkStart w:id="151" w:name="_Hlt26670482"/>
      <w:bookmarkEnd w:id="151"/>
      <w:bookmarkStart w:id="152" w:name="_Hlk155763835"/>
      <w:r>
        <w:rPr>
          <w:rFonts w:hint="eastAsia" w:ascii="宋体" w:hAnsi="宋体" w:cs="宋体"/>
          <w:color w:val="000000" w:themeColor="text1"/>
          <w:sz w:val="24"/>
          <w:szCs w:val="24"/>
          <w:highlight w:val="none"/>
          <w14:textFill>
            <w14:solidFill>
              <w14:schemeClr w14:val="tx1"/>
            </w14:solidFill>
          </w14:textFill>
        </w:rPr>
        <w:t>6、服务、商务要求响应及偏离表</w:t>
      </w:r>
    </w:p>
    <w:p w14:paraId="545D8190">
      <w:pPr>
        <w:spacing w:line="440" w:lineRule="exact"/>
        <w:ind w:firstLine="789"/>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w:t>
      </w:r>
      <w:r>
        <w:rPr>
          <w:rFonts w:hint="eastAsia" w:ascii="宋体" w:hAnsi="宋体" w:cs="宋体"/>
          <w:color w:val="000000" w:themeColor="text1"/>
          <w:sz w:val="24"/>
          <w:szCs w:val="24"/>
          <w:highlight w:val="none"/>
          <w:lang w:val="zh-CN"/>
          <w14:textFill>
            <w14:solidFill>
              <w14:schemeClr w14:val="tx1"/>
            </w14:solidFill>
          </w14:textFill>
        </w:rPr>
        <w:t xml:space="preserve"> 投标人需对招标文件中的服务要求与商务要求逐项作出响应或偏离，并说明原因。</w:t>
      </w:r>
    </w:p>
    <w:p w14:paraId="67EAB8A0">
      <w:pPr>
        <w:spacing w:line="440" w:lineRule="exact"/>
        <w:ind w:firstLine="789"/>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6.2</w:t>
      </w:r>
      <w:r>
        <w:rPr>
          <w:rFonts w:hint="eastAsia" w:ascii="宋体" w:hAnsi="宋体" w:cs="宋体"/>
          <w:color w:val="000000" w:themeColor="text1"/>
          <w:sz w:val="24"/>
          <w:szCs w:val="24"/>
          <w:highlight w:val="none"/>
          <w:lang w:val="zh-CN"/>
          <w14:textFill>
            <w14:solidFill>
              <w14:schemeClr w14:val="tx1"/>
            </w14:solidFill>
          </w14:textFill>
        </w:rPr>
        <w:t xml:space="preserve"> 投标人需按照招标文件要求，在投标文件中提供与服务要求和商务要求相关的证明材料。</w:t>
      </w:r>
      <w:bookmarkEnd w:id="152"/>
      <w:r>
        <w:rPr>
          <w:rFonts w:hint="eastAsia" w:ascii="宋体" w:hAnsi="宋体" w:cs="宋体"/>
          <w:color w:val="000000" w:themeColor="text1"/>
          <w:sz w:val="24"/>
          <w:szCs w:val="24"/>
          <w:highlight w:val="none"/>
          <w:lang w:val="zh-CN"/>
          <w14:textFill>
            <w14:solidFill>
              <w14:schemeClr w14:val="tx1"/>
            </w14:solidFill>
          </w14:textFill>
        </w:rPr>
        <w:t>（如有）</w:t>
      </w:r>
    </w:p>
    <w:p w14:paraId="68B01AA9">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7、项目服务方案业绩情况</w:t>
      </w:r>
    </w:p>
    <w:p w14:paraId="369076CB">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投标人需根据招标文件要求提供有关项目服务方案和关键技术问题及难点分析、项目进度计划安排、质量管理及保证措施、响应承诺等。</w:t>
      </w:r>
    </w:p>
    <w:p w14:paraId="74C1C5C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投标人需根据招标文件要求提供实施的类似项目业绩情况。</w:t>
      </w:r>
      <w:bookmarkStart w:id="153" w:name="_Toc14577359"/>
      <w:bookmarkStart w:id="154" w:name="_Toc49090510"/>
    </w:p>
    <w:p w14:paraId="25650999">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w:t>
      </w:r>
    </w:p>
    <w:p w14:paraId="794BD00D">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8.1 投标人需根据招标文件要求提供的其他证明材料。</w:t>
      </w:r>
      <w:bookmarkEnd w:id="153"/>
      <w:bookmarkEnd w:id="154"/>
    </w:p>
    <w:p w14:paraId="0A9F1D71">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55" w:name="_Toc49090511"/>
      <w:bookmarkStart w:id="156" w:name="_Toc14577360"/>
      <w:r>
        <w:rPr>
          <w:rFonts w:hint="eastAsia" w:ascii="宋体" w:hAnsi="宋体" w:cs="宋体"/>
          <w:color w:val="000000" w:themeColor="text1"/>
          <w:sz w:val="24"/>
          <w:szCs w:val="24"/>
          <w:highlight w:val="none"/>
          <w14:textFill>
            <w14:solidFill>
              <w14:schemeClr w14:val="tx1"/>
            </w14:solidFill>
          </w14:textFill>
        </w:rPr>
        <w:t>9、投标有效期</w:t>
      </w:r>
      <w:bookmarkEnd w:id="155"/>
      <w:bookmarkEnd w:id="156"/>
    </w:p>
    <w:p w14:paraId="6A866751">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9.1投标有效期为代理机构</w:t>
      </w:r>
      <w:r>
        <w:rPr>
          <w:rFonts w:hint="eastAsia" w:ascii="宋体" w:hAnsi="宋体" w:cs="宋体"/>
          <w:bCs/>
          <w:color w:val="000000" w:themeColor="text1"/>
          <w:sz w:val="24"/>
          <w:szCs w:val="24"/>
          <w:highlight w:val="none"/>
          <w14:textFill>
            <w14:solidFill>
              <w14:schemeClr w14:val="tx1"/>
            </w14:solidFill>
          </w14:textFill>
        </w:rPr>
        <w:t>规定的开标之日后</w:t>
      </w:r>
      <w:r>
        <w:rPr>
          <w:rFonts w:hint="eastAsia" w:ascii="宋体" w:hAnsi="宋体" w:cs="宋体"/>
          <w:b/>
          <w:color w:val="000000" w:themeColor="text1"/>
          <w:sz w:val="24"/>
          <w:szCs w:val="24"/>
          <w:highlight w:val="none"/>
          <w:u w:val="single"/>
          <w14:textFill>
            <w14:solidFill>
              <w14:schemeClr w14:val="tx1"/>
            </w14:solidFill>
          </w14:textFill>
        </w:rPr>
        <w:t>六十（60）天</w:t>
      </w:r>
      <w:r>
        <w:rPr>
          <w:rFonts w:hint="eastAsia" w:ascii="宋体" w:hAnsi="宋体" w:cs="宋体"/>
          <w:bCs/>
          <w:color w:val="000000" w:themeColor="text1"/>
          <w:sz w:val="24"/>
          <w:szCs w:val="24"/>
          <w:highlight w:val="none"/>
          <w14:textFill>
            <w14:solidFill>
              <w14:schemeClr w14:val="tx1"/>
            </w14:solidFill>
          </w14:textFill>
        </w:rPr>
        <w:t>。投标有效期比规定短的将被视为未实质性响应招标文件而予以拒绝。</w:t>
      </w:r>
    </w:p>
    <w:p w14:paraId="0B0F4C36">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10、投标有效期的延长</w:t>
      </w:r>
    </w:p>
    <w:p w14:paraId="54A0CAF4">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197E65BD">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157" w:name="_Hlt26954852"/>
      <w:bookmarkEnd w:id="157"/>
      <w:bookmarkStart w:id="158" w:name="_Hlt26954739"/>
      <w:bookmarkEnd w:id="158"/>
      <w:bookmarkStart w:id="159" w:name="_Toc120614217"/>
      <w:bookmarkStart w:id="160" w:name="_Toc513029224"/>
      <w:bookmarkStart w:id="161" w:name="_Toc27972"/>
      <w:bookmarkStart w:id="162" w:name="_Toc20823296"/>
      <w:bookmarkStart w:id="163" w:name="_Toc18898"/>
      <w:bookmarkStart w:id="164" w:name="_Toc25691"/>
      <w:bookmarkStart w:id="165" w:name="_Toc16938540"/>
      <w:bookmarkStart w:id="166" w:name="_Toc27676"/>
      <w:r>
        <w:rPr>
          <w:rFonts w:hint="eastAsia" w:ascii="宋体" w:hAnsi="宋体" w:cs="宋体"/>
          <w:b/>
          <w:bCs/>
          <w:color w:val="000000" w:themeColor="text1"/>
          <w:sz w:val="28"/>
          <w:szCs w:val="28"/>
          <w:highlight w:val="none"/>
          <w14:textFill>
            <w14:solidFill>
              <w14:schemeClr w14:val="tx1"/>
            </w14:solidFill>
          </w14:textFill>
        </w:rPr>
        <w:t>四、投标文件的递交</w:t>
      </w:r>
      <w:bookmarkEnd w:id="159"/>
      <w:bookmarkEnd w:id="160"/>
      <w:bookmarkEnd w:id="161"/>
      <w:bookmarkEnd w:id="162"/>
      <w:bookmarkEnd w:id="163"/>
      <w:bookmarkEnd w:id="164"/>
      <w:bookmarkEnd w:id="165"/>
      <w:bookmarkEnd w:id="166"/>
    </w:p>
    <w:p w14:paraId="62F4A25C">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67" w:name="_Toc16938541"/>
      <w:bookmarkStart w:id="168" w:name="_Toc513029225"/>
      <w:bookmarkStart w:id="169" w:name="_Toc462564084"/>
      <w:bookmarkStart w:id="170" w:name="_Toc20823297"/>
      <w:r>
        <w:rPr>
          <w:rFonts w:hint="eastAsia" w:ascii="宋体" w:hAnsi="宋体" w:cs="宋体"/>
          <w:color w:val="000000" w:themeColor="text1"/>
          <w:sz w:val="24"/>
          <w:szCs w:val="24"/>
          <w:highlight w:val="none"/>
          <w14:textFill>
            <w14:solidFill>
              <w14:schemeClr w14:val="tx1"/>
            </w14:solidFill>
          </w14:textFill>
        </w:rPr>
        <w:t>1、电子投标文件</w:t>
      </w:r>
      <w:bookmarkEnd w:id="167"/>
      <w:bookmarkEnd w:id="168"/>
      <w:bookmarkEnd w:id="169"/>
      <w:bookmarkEnd w:id="170"/>
      <w:r>
        <w:rPr>
          <w:rFonts w:hint="eastAsia" w:ascii="宋体" w:hAnsi="宋体" w:cs="宋体"/>
          <w:color w:val="000000" w:themeColor="text1"/>
          <w:sz w:val="24"/>
          <w:szCs w:val="24"/>
          <w:highlight w:val="none"/>
          <w14:textFill>
            <w14:solidFill>
              <w14:schemeClr w14:val="tx1"/>
            </w14:solidFill>
          </w14:textFill>
        </w:rPr>
        <w:t>的递交</w:t>
      </w:r>
    </w:p>
    <w:p w14:paraId="1E5AE5F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1.1投标人应当按照《苏采云系统供应商操作手册》规定，在投标截止时间前制作并上传电子投标文件。</w:t>
      </w:r>
      <w:bookmarkStart w:id="171" w:name="_Toc16938542"/>
      <w:bookmarkStart w:id="172" w:name="_Toc513029226"/>
      <w:bookmarkStart w:id="173" w:name="_Toc20823298"/>
    </w:p>
    <w:p w14:paraId="3597556F">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2、投标截止日期</w:t>
      </w:r>
      <w:bookmarkEnd w:id="171"/>
      <w:bookmarkEnd w:id="172"/>
      <w:bookmarkEnd w:id="173"/>
    </w:p>
    <w:p w14:paraId="4365AA92">
      <w:pPr>
        <w:spacing w:line="440" w:lineRule="exact"/>
        <w:ind w:firstLine="789"/>
        <w:rPr>
          <w:rFonts w:ascii="宋体" w:hAnsi="宋体" w:cs="宋体"/>
          <w:bCs/>
          <w:iCs/>
          <w:color w:val="000000" w:themeColor="text1"/>
          <w:sz w:val="24"/>
          <w:szCs w:val="24"/>
          <w:highlight w:val="none"/>
          <w:u w:val="single"/>
          <w14:textFill>
            <w14:solidFill>
              <w14:schemeClr w14:val="tx1"/>
            </w14:solidFill>
          </w14:textFill>
        </w:rPr>
      </w:pPr>
      <w:r>
        <w:rPr>
          <w:rFonts w:hint="eastAsia" w:ascii="宋体" w:hAnsi="宋体" w:cs="宋体"/>
          <w:iCs/>
          <w:color w:val="000000" w:themeColor="text1"/>
          <w:sz w:val="24"/>
          <w:szCs w:val="24"/>
          <w:highlight w:val="none"/>
          <w:u w:val="single"/>
          <w14:textFill>
            <w14:solidFill>
              <w14:schemeClr w14:val="tx1"/>
            </w14:solidFill>
          </w14:textFill>
        </w:rPr>
        <w:t>2.1</w:t>
      </w:r>
      <w:r>
        <w:rPr>
          <w:rFonts w:hint="eastAsia" w:ascii="宋体" w:hAnsi="宋体" w:cs="宋体"/>
          <w:bCs/>
          <w:iCs/>
          <w:color w:val="000000" w:themeColor="text1"/>
          <w:sz w:val="24"/>
          <w:szCs w:val="24"/>
          <w:highlight w:val="none"/>
          <w:u w:val="single"/>
          <w14:textFill>
            <w14:solidFill>
              <w14:schemeClr w14:val="tx1"/>
            </w14:solidFill>
          </w14:textFill>
        </w:rPr>
        <w:t xml:space="preserve"> 投标人上传电子投标文件的时间不得迟于招标公告中规定的投标截止时间。</w:t>
      </w:r>
    </w:p>
    <w:p w14:paraId="43599A53">
      <w:pPr>
        <w:spacing w:line="440" w:lineRule="exact"/>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投标人应充分考虑到网络环境、网络带宽等风险因素，如因投标人自身原因造成的电子投标文件上传不成功的按照本招标文件第二章第27.1.2条规定做无效投标处理。</w:t>
      </w:r>
    </w:p>
    <w:p w14:paraId="18405A0A">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w:t>
      </w:r>
      <w:r>
        <w:rPr>
          <w:rFonts w:hint="eastAsia" w:ascii="宋体" w:hAnsi="宋体" w:cs="宋体"/>
          <w:bCs/>
          <w:color w:val="000000" w:themeColor="text1"/>
          <w:sz w:val="24"/>
          <w:szCs w:val="24"/>
          <w:highlight w:val="none"/>
          <w14:textFill>
            <w14:solidFill>
              <w14:schemeClr w14:val="tx1"/>
            </w14:solidFill>
          </w14:textFill>
        </w:rPr>
        <w:t xml:space="preserve"> 代理机构可以按照规定，通过修改招标文件酌情延长投标截止日期，在此情况下，投标人的所有权利和义务以及投标人受制的截止日期均应以延长后新的截止日期为准。</w:t>
      </w:r>
    </w:p>
    <w:p w14:paraId="03D9A75A">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74" w:name="_Toc20823299"/>
      <w:bookmarkStart w:id="175" w:name="_Toc513029227"/>
      <w:bookmarkStart w:id="176" w:name="_Toc16938543"/>
      <w:r>
        <w:rPr>
          <w:rFonts w:hint="eastAsia" w:ascii="宋体" w:hAnsi="宋体" w:cs="宋体"/>
          <w:color w:val="000000" w:themeColor="text1"/>
          <w:sz w:val="24"/>
          <w:szCs w:val="24"/>
          <w:highlight w:val="none"/>
          <w14:textFill>
            <w14:solidFill>
              <w14:schemeClr w14:val="tx1"/>
            </w14:solidFill>
          </w14:textFill>
        </w:rPr>
        <w:t>3、投标文件</w:t>
      </w:r>
      <w:bookmarkEnd w:id="174"/>
      <w:bookmarkEnd w:id="175"/>
      <w:bookmarkEnd w:id="176"/>
      <w:r>
        <w:rPr>
          <w:rFonts w:hint="eastAsia" w:ascii="宋体" w:hAnsi="宋体" w:cs="宋体"/>
          <w:color w:val="000000" w:themeColor="text1"/>
          <w:sz w:val="24"/>
          <w:szCs w:val="24"/>
          <w:highlight w:val="none"/>
          <w14:textFill>
            <w14:solidFill>
              <w14:schemeClr w14:val="tx1"/>
            </w14:solidFill>
          </w14:textFill>
        </w:rPr>
        <w:t>的拒收</w:t>
      </w:r>
    </w:p>
    <w:p w14:paraId="2E14B7AD">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3.1 代理机构拒绝接收在其规定的投标截止时间后上传的任何投标文件。</w:t>
      </w:r>
    </w:p>
    <w:p w14:paraId="0CCC350E">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77" w:name="_Toc513029228"/>
      <w:bookmarkStart w:id="178" w:name="_Toc16938544"/>
      <w:bookmarkStart w:id="179" w:name="_Toc20823300"/>
      <w:r>
        <w:rPr>
          <w:rFonts w:hint="eastAsia" w:ascii="宋体" w:hAnsi="宋体" w:cs="宋体"/>
          <w:color w:val="000000" w:themeColor="text1"/>
          <w:sz w:val="24"/>
          <w:szCs w:val="24"/>
          <w:highlight w:val="none"/>
          <w14:textFill>
            <w14:solidFill>
              <w14:schemeClr w14:val="tx1"/>
            </w14:solidFill>
          </w14:textFill>
        </w:rPr>
        <w:t>4、投标文件的撤回和修改</w:t>
      </w:r>
      <w:bookmarkEnd w:id="177"/>
      <w:bookmarkEnd w:id="178"/>
      <w:bookmarkEnd w:id="179"/>
    </w:p>
    <w:p w14:paraId="1FA6C27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 投标文件的撤回</w:t>
      </w:r>
    </w:p>
    <w:p w14:paraId="70038A4D">
      <w:pPr>
        <w:spacing w:line="440" w:lineRule="exact"/>
        <w:ind w:firstLine="96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4.1.1 电子投标文件的撤回</w:t>
      </w:r>
    </w:p>
    <w:p w14:paraId="7AA767F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投标人可在投标截止时间前，撤回其电子投标文件，具体操作方法见《苏采云系统供应商操作手册》。</w:t>
      </w:r>
    </w:p>
    <w:p w14:paraId="79A14ACA">
      <w:pPr>
        <w:spacing w:line="440" w:lineRule="exact"/>
        <w:ind w:firstLine="96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4.1.2 投标人撤回电子投标文件，则认为其不再参与本项目投标活动。</w:t>
      </w:r>
    </w:p>
    <w:p w14:paraId="31DFA7B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投标文件的修改</w:t>
      </w:r>
    </w:p>
    <w:p w14:paraId="455ACE54">
      <w:pPr>
        <w:spacing w:line="440" w:lineRule="exact"/>
        <w:ind w:firstLine="96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4.2.1投标人可在投标截止时间前，对其电子投标文件进行修改，具体操作方法见《苏采云系统供应商操作手册》。</w:t>
      </w:r>
    </w:p>
    <w:p w14:paraId="4FE58CE3">
      <w:pPr>
        <w:spacing w:line="440" w:lineRule="exact"/>
        <w:ind w:firstLine="96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4.2.2 在投标截止时间之后，投标人不得对其电子投标文件作任何修改。</w:t>
      </w:r>
    </w:p>
    <w:p w14:paraId="78E98201">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 在投标截止时间至招标文件中规定的投标有效期满之间的这段时间内，投标人不得撤回其投标。</w:t>
      </w:r>
    </w:p>
    <w:p w14:paraId="4359F8FF">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180" w:name="_Toc29724"/>
      <w:bookmarkStart w:id="181" w:name="_Toc1477"/>
      <w:bookmarkStart w:id="182" w:name="_Toc513029229"/>
      <w:bookmarkStart w:id="183" w:name="_Toc120614218"/>
      <w:bookmarkStart w:id="184" w:name="_Toc16938545"/>
      <w:bookmarkStart w:id="185" w:name="_Toc20236"/>
      <w:bookmarkStart w:id="186" w:name="_Toc20823301"/>
      <w:bookmarkStart w:id="187" w:name="_Toc22837"/>
      <w:r>
        <w:rPr>
          <w:rFonts w:hint="eastAsia" w:ascii="宋体" w:hAnsi="宋体" w:cs="宋体"/>
          <w:b/>
          <w:bCs/>
          <w:color w:val="000000" w:themeColor="text1"/>
          <w:sz w:val="28"/>
          <w:szCs w:val="28"/>
          <w:highlight w:val="none"/>
          <w14:textFill>
            <w14:solidFill>
              <w14:schemeClr w14:val="tx1"/>
            </w14:solidFill>
          </w14:textFill>
        </w:rPr>
        <w:t>五、开标与评标</w:t>
      </w:r>
      <w:bookmarkEnd w:id="180"/>
      <w:bookmarkEnd w:id="181"/>
      <w:bookmarkEnd w:id="182"/>
      <w:bookmarkEnd w:id="183"/>
      <w:bookmarkEnd w:id="184"/>
      <w:bookmarkEnd w:id="185"/>
      <w:bookmarkEnd w:id="186"/>
      <w:bookmarkEnd w:id="187"/>
    </w:p>
    <w:p w14:paraId="08292B44">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88" w:name="_Toc16938546"/>
      <w:bookmarkStart w:id="189" w:name="_Toc513029230"/>
      <w:bookmarkStart w:id="190" w:name="_Toc20823302"/>
      <w:r>
        <w:rPr>
          <w:rFonts w:hint="eastAsia" w:ascii="宋体" w:hAnsi="宋体" w:cs="宋体"/>
          <w:color w:val="000000" w:themeColor="text1"/>
          <w:sz w:val="24"/>
          <w:szCs w:val="24"/>
          <w:highlight w:val="none"/>
          <w14:textFill>
            <w14:solidFill>
              <w14:schemeClr w14:val="tx1"/>
            </w14:solidFill>
          </w14:textFill>
        </w:rPr>
        <w:t>1、开标</w:t>
      </w:r>
      <w:bookmarkEnd w:id="188"/>
      <w:bookmarkEnd w:id="189"/>
      <w:bookmarkEnd w:id="190"/>
    </w:p>
    <w:p w14:paraId="3927ED6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代理机构将在招标公告中规定的时间和地点组织公开开标。投标人应当按照《苏采云系统供应商操作手册》规定，参加开标活动和在苏采云系统规定的时间内对投标文件进行解密。</w:t>
      </w:r>
    </w:p>
    <w:p w14:paraId="63951B4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1.2开标仪式由代理机构组织。苏采云系统将自动对项目进行开标，并宣布各投标人名称和投标价格。</w:t>
      </w:r>
    </w:p>
    <w:p w14:paraId="50CC95A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1.3投标人在开标过程中涉及到的投标文件解密、开标结果确认等工作，应按照《苏采云系统供应商操作手册》规定执行。</w:t>
      </w:r>
    </w:p>
    <w:p w14:paraId="1CD0547D">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1.4投标人如果对开标过程和开标记录有疑义，应当根据《操作手册》规定提出，如苏采云系统中《开标记录表》宣布后5分钟内未提出的，视同认可开标结果。</w:t>
      </w:r>
    </w:p>
    <w:p w14:paraId="6C5000F7">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91" w:name="_Toc513029231"/>
      <w:bookmarkStart w:id="192" w:name="_Toc20823303"/>
      <w:bookmarkStart w:id="193" w:name="_Toc16938547"/>
      <w:r>
        <w:rPr>
          <w:rFonts w:hint="eastAsia" w:ascii="宋体" w:hAnsi="宋体" w:cs="宋体"/>
          <w:color w:val="000000" w:themeColor="text1"/>
          <w:sz w:val="24"/>
          <w:szCs w:val="24"/>
          <w:highlight w:val="none"/>
          <w14:textFill>
            <w14:solidFill>
              <w14:schemeClr w14:val="tx1"/>
            </w14:solidFill>
          </w14:textFill>
        </w:rPr>
        <w:t>2、评标委员会</w:t>
      </w:r>
    </w:p>
    <w:p w14:paraId="20E1E81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开标后，代理机构将立即组织评标委员会（以下简称评委会）进行评标。</w:t>
      </w:r>
    </w:p>
    <w:p w14:paraId="4DEAB56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评委会由采购人代表和有关技术、经济等方面的专家组成，且人员构成符合政府采购有关规定。</w:t>
      </w:r>
    </w:p>
    <w:p w14:paraId="27A0C217">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2.3评委会独立工作，负责评审所有投标文件并确定中标侯选人。</w:t>
      </w:r>
    </w:p>
    <w:p w14:paraId="0F53CC8D">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3．评标过程的保密与公正</w:t>
      </w:r>
      <w:bookmarkEnd w:id="191"/>
      <w:bookmarkEnd w:id="192"/>
      <w:bookmarkEnd w:id="193"/>
    </w:p>
    <w:p w14:paraId="7BAE923E">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w:t>
      </w:r>
      <w:r>
        <w:rPr>
          <w:rFonts w:hint="eastAsia" w:ascii="宋体" w:hAnsi="宋体" w:cs="宋体"/>
          <w:bCs/>
          <w:color w:val="000000" w:themeColor="text1"/>
          <w:sz w:val="24"/>
          <w:szCs w:val="24"/>
          <w:highlight w:val="none"/>
          <w14:textFill>
            <w14:solidFill>
              <w14:schemeClr w14:val="tx1"/>
            </w14:solidFill>
          </w14:textFill>
        </w:rPr>
        <w:t>凡是与审查、澄清、评价和比较投标的有关资料以及授标建议等，采购人、评委、代理机构均不得向投标人或与评标无关的其他人员透露。</w:t>
      </w:r>
    </w:p>
    <w:p w14:paraId="2658BE5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3.2在评标过程中，投标人不得以任何行为影响评标过程，否则其投标文件将被作为无效投标文件。</w:t>
      </w:r>
    </w:p>
    <w:p w14:paraId="448F8C8E">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代理机构和评委会不向未中标的投标人解释未中标原因，也不公布评标过程中的相关细节。</w:t>
      </w:r>
    </w:p>
    <w:p w14:paraId="43FFB4DD">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3.4 采用综合评分法的项目，未中标的投标人可于中标结果公告期限届满之日起通过苏采云系统查看自己的评审得分及排序情况。</w:t>
      </w:r>
    </w:p>
    <w:p w14:paraId="7C7740BD">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bookmarkStart w:id="194" w:name="_Toc20823304"/>
      <w:bookmarkStart w:id="195" w:name="_Toc513029232"/>
      <w:bookmarkStart w:id="196" w:name="_Toc16938548"/>
      <w:r>
        <w:rPr>
          <w:rFonts w:hint="eastAsia" w:ascii="宋体" w:hAnsi="宋体" w:cs="宋体"/>
          <w:color w:val="000000" w:themeColor="text1"/>
          <w:sz w:val="24"/>
          <w:szCs w:val="24"/>
          <w:highlight w:val="none"/>
          <w14:textFill>
            <w14:solidFill>
              <w14:schemeClr w14:val="tx1"/>
            </w14:solidFill>
          </w14:textFill>
        </w:rPr>
        <w:t>4. 投标文件的澄清</w:t>
      </w:r>
      <w:bookmarkEnd w:id="194"/>
      <w:bookmarkEnd w:id="195"/>
      <w:bookmarkEnd w:id="196"/>
    </w:p>
    <w:p w14:paraId="4A905060">
      <w:pPr>
        <w:spacing w:line="440" w:lineRule="exact"/>
        <w:ind w:firstLine="789"/>
        <w:rPr>
          <w:rFonts w:ascii="宋体" w:hAnsi="宋体" w:cs="宋体"/>
          <w:color w:val="000000" w:themeColor="text1"/>
          <w:sz w:val="24"/>
          <w:szCs w:val="24"/>
          <w:highlight w:val="none"/>
          <w14:textFill>
            <w14:solidFill>
              <w14:schemeClr w14:val="tx1"/>
            </w14:solidFill>
          </w14:textFill>
        </w:rPr>
      </w:pPr>
      <w:bookmarkStart w:id="197" w:name="_Toc16938549"/>
      <w:bookmarkStart w:id="198" w:name="_Toc513029233"/>
      <w:bookmarkStart w:id="199" w:name="_Toc20823305"/>
      <w:r>
        <w:rPr>
          <w:rFonts w:hint="eastAsia" w:ascii="宋体" w:hAnsi="宋体" w:cs="宋体"/>
          <w:color w:val="000000" w:themeColor="text1"/>
          <w:sz w:val="24"/>
          <w:szCs w:val="24"/>
          <w:highlight w:val="none"/>
          <w14:textFill>
            <w14:solidFill>
              <w14:schemeClr w14:val="tx1"/>
            </w14:solidFill>
          </w14:textFill>
        </w:rPr>
        <w:t>4.1评标期间，评委会对投标文件中含义不明确、同类问题表述不一致或者有明显文字和计算错误的内容 ，有权要求投标人作出必要的澄清、说明或者补正。</w:t>
      </w:r>
    </w:p>
    <w:p w14:paraId="34244B7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投标人的澄清、说明或者补正不得超出投标文件的范围或者改变投标文件的实质性内容。</w:t>
      </w:r>
    </w:p>
    <w:p w14:paraId="395DC6B3">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评标委员会并非对每个投标人都做澄清要求。</w:t>
      </w:r>
    </w:p>
    <w:p w14:paraId="39845D88">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p>
    <w:p w14:paraId="02C5193B">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4.3 接到评委会澄清、说明和补正要求的投标人如未按规定做出澄清、说明和补正，其风险由投标人自行承担。</w:t>
      </w:r>
    </w:p>
    <w:p w14:paraId="00DB704E">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 对投标文件的初审</w:t>
      </w:r>
      <w:bookmarkEnd w:id="197"/>
      <w:bookmarkEnd w:id="198"/>
      <w:bookmarkEnd w:id="199"/>
    </w:p>
    <w:p w14:paraId="60322B84">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w:t>
      </w:r>
      <w:r>
        <w:rPr>
          <w:rFonts w:hint="eastAsia" w:ascii="宋体" w:hAnsi="宋体" w:cs="宋体"/>
          <w:bCs/>
          <w:color w:val="000000" w:themeColor="text1"/>
          <w:sz w:val="24"/>
          <w:szCs w:val="24"/>
          <w:highlight w:val="none"/>
          <w14:textFill>
            <w14:solidFill>
              <w14:schemeClr w14:val="tx1"/>
            </w14:solidFill>
          </w14:textFill>
        </w:rPr>
        <w:t>投标文件初审分为资格审查和符合性审查。</w:t>
      </w:r>
    </w:p>
    <w:p w14:paraId="7CCF7720">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5.1.1 资格审查：依据法律法规和招标文件的规定，由采购人对投标文件中的资格证明文件进行审查。资格审查的结论，采购人以书面形式向评委会进行反馈。</w:t>
      </w:r>
    </w:p>
    <w:p w14:paraId="61226577">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采购人在进行资格性审查的同时，将在</w:t>
      </w:r>
      <w:r>
        <w:rPr>
          <w:rFonts w:hint="eastAsia" w:cs="宋体"/>
          <w:color w:val="000000" w:themeColor="text1"/>
          <w:sz w:val="24"/>
          <w:szCs w:val="24"/>
          <w:highlight w:val="none"/>
          <w14:textFill>
            <w14:solidFill>
              <w14:schemeClr w14:val="tx1"/>
            </w14:solidFill>
          </w14:textFill>
        </w:rPr>
        <w:t>中国政府采购网</w:t>
      </w:r>
      <w:r>
        <w:rPr>
          <w:rFonts w:cs="宋体"/>
          <w:color w:val="000000" w:themeColor="text1"/>
          <w:sz w:val="24"/>
          <w:szCs w:val="24"/>
          <w:highlight w:val="none"/>
          <w14:textFill>
            <w14:solidFill>
              <w14:schemeClr w14:val="tx1"/>
            </w14:solidFill>
          </w14:textFill>
        </w:rPr>
        <w:t>(http://www.ccgp.gov.cn/search/cr/)、信用中国（https://www.creditchina.gov.cn/）、信用江苏（http://credit.jiangsu.gov.cn/）、信用中国（江苏苏州）（https://credit.suzhou.gov.cn/）</w:t>
      </w:r>
      <w:r>
        <w:rPr>
          <w:rFonts w:hint="eastAsia" w:ascii="宋体" w:hAnsi="宋体" w:cs="宋体"/>
          <w:bCs/>
          <w:color w:val="000000" w:themeColor="text1"/>
          <w:sz w:val="24"/>
          <w:szCs w:val="24"/>
          <w:highlight w:val="none"/>
          <w14:textFill>
            <w14:solidFill>
              <w14:schemeClr w14:val="tx1"/>
            </w14:solidFill>
          </w14:textFill>
        </w:rPr>
        <w:t>等查询投标人的信用记录，以确定投标人是否具备投标资格,查询结果留存并归档。</w:t>
      </w:r>
    </w:p>
    <w:p w14:paraId="7034DB3C">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1FC379CC">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5.1.2 符合性审查：依据招标文件的规定，由评委会从投标文件的有效性、完整性和对招标文件的响应程度进行审查，以确定是否对招标文件的实质性要求作出响应。</w:t>
      </w:r>
    </w:p>
    <w:p w14:paraId="42408AAB">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5.1.3 未通过资格审查或符合性审查的投标人，代理机构将在苏采云系统中告知未通过资格审查或符合性审查的原因，评审结束后，代理机构将不再告知未通过资格审查或符合性审查的原因。</w:t>
      </w:r>
    </w:p>
    <w:p w14:paraId="42C5DD91">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5.2在详细评标之前，评委会将首先审查每份投标文件是否实质性响应了招标文件的要求。实质性响应的投标应该是与招标文件要求的全部条款、条件和规格相符，没有重大偏离或保留的投标。</w:t>
      </w:r>
    </w:p>
    <w:p w14:paraId="6C3DEA0C">
      <w:pPr>
        <w:spacing w:line="440" w:lineRule="exact"/>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themeColor="text1"/>
          <w:sz w:val="24"/>
          <w:szCs w:val="24"/>
          <w:highlight w:val="none"/>
          <w14:textFill>
            <w14:solidFill>
              <w14:schemeClr w14:val="tx1"/>
            </w14:solidFill>
          </w14:textFill>
        </w:rPr>
        <w:t>评委决定投标文件的响应性只根据投标文件本身的内容，而不寻求外部的证据。</w:t>
      </w:r>
    </w:p>
    <w:p w14:paraId="6BD96D3F">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w:t>
      </w:r>
      <w:r>
        <w:rPr>
          <w:rFonts w:hint="eastAsia" w:ascii="宋体" w:hAnsi="宋体" w:cs="宋体"/>
          <w:bCs/>
          <w:color w:val="000000" w:themeColor="text1"/>
          <w:sz w:val="24"/>
          <w:szCs w:val="24"/>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166B9E9E">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5.4</w:t>
      </w:r>
      <w:r>
        <w:rPr>
          <w:rFonts w:hint="eastAsia" w:ascii="宋体" w:hAnsi="宋体" w:cs="宋体"/>
          <w:bCs/>
          <w:color w:val="000000" w:themeColor="text1"/>
          <w:sz w:val="24"/>
          <w:szCs w:val="24"/>
          <w:highlight w:val="none"/>
          <w14:textFill>
            <w14:solidFill>
              <w14:schemeClr w14:val="tx1"/>
            </w14:solidFill>
          </w14:textFill>
        </w:rPr>
        <w:t>评委会将对确定为实质性响应的投标进行进一步审核，看其是否有计算上或累加上的算术错误，修正错误的原则如下：</w:t>
      </w:r>
    </w:p>
    <w:p w14:paraId="6D59059A">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（1）投标文件中开标一览表内容与投标文件中相应内容不一致的，以开标一览表为准。</w:t>
      </w:r>
    </w:p>
    <w:p w14:paraId="5EFC81E0">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（2）大写金额和小写金额不一致的，以大写金额为准。</w:t>
      </w:r>
    </w:p>
    <w:p w14:paraId="74E594B1">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（3）单价金额小数点或者百分比有明显错位的，以开标一览表的总价为准，并修改单价。</w:t>
      </w:r>
    </w:p>
    <w:p w14:paraId="2F9C783D">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（4）总价金额与按单价汇总金额不一致的，以单价金额计算结果为准。</w:t>
      </w:r>
    </w:p>
    <w:p w14:paraId="12FD7484">
      <w:pPr>
        <w:spacing w:line="440" w:lineRule="exact"/>
        <w:ind w:firstLine="96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同时出现两种以上错误的，按照前款规定的顺序修正。</w:t>
      </w:r>
    </w:p>
    <w:p w14:paraId="772C2846">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5.5</w:t>
      </w:r>
      <w:r>
        <w:rPr>
          <w:rFonts w:hint="eastAsia" w:ascii="宋体" w:hAnsi="宋体" w:cs="宋体"/>
          <w:bCs/>
          <w:color w:val="000000" w:themeColor="text1"/>
          <w:sz w:val="24"/>
          <w:szCs w:val="24"/>
          <w:highlight w:val="none"/>
          <w14:textFill>
            <w14:solidFill>
              <w14:schemeClr w14:val="tx1"/>
            </w14:solidFill>
          </w14:textFill>
        </w:rPr>
        <w:t>评委会将按上述修正错误的方法调整投标文件中的投标报价，并通过</w:t>
      </w:r>
      <w:r>
        <w:rPr>
          <w:rFonts w:hint="eastAsia" w:ascii="宋体" w:hAnsi="宋体" w:cs="宋体"/>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szCs w:val="24"/>
          <w:highlight w:val="none"/>
          <w14:textFill>
            <w14:solidFill>
              <w14:schemeClr w14:val="tx1"/>
            </w14:solidFill>
          </w14:textFill>
        </w:rPr>
        <w:t>告知投标人，调整后的价格应对投标人具有约束力。如果投标人不接受修正后的价格，则其投标将被拒绝。</w:t>
      </w:r>
    </w:p>
    <w:p w14:paraId="02FFBBBA">
      <w:pPr>
        <w:spacing w:line="440" w:lineRule="exact"/>
        <w:ind w:firstLine="789"/>
        <w:rPr>
          <w:rFonts w:ascii="宋体" w:hAnsi="宋体" w:cs="宋体"/>
          <w:color w:val="000000" w:themeColor="text1"/>
          <w:sz w:val="24"/>
          <w:szCs w:val="24"/>
          <w:highlight w:val="none"/>
          <w14:textFill>
            <w14:solidFill>
              <w14:schemeClr w14:val="tx1"/>
            </w14:solidFill>
          </w14:textFill>
        </w:rPr>
      </w:pPr>
      <w:bookmarkStart w:id="200" w:name="_Toc20823306"/>
      <w:bookmarkStart w:id="201" w:name="_Toc513029234"/>
      <w:bookmarkStart w:id="202" w:name="_Toc16938550"/>
      <w:r>
        <w:rPr>
          <w:rFonts w:hint="eastAsia" w:ascii="宋体" w:hAnsi="宋体" w:cs="宋体"/>
          <w:color w:val="000000" w:themeColor="text1"/>
          <w:sz w:val="24"/>
          <w:szCs w:val="24"/>
          <w:highlight w:val="none"/>
          <w14:textFill>
            <w14:solidFill>
              <w14:schemeClr w14:val="tx1"/>
            </w14:solidFill>
          </w14:textFill>
        </w:rPr>
        <w:t>5.6使用综合评分法的采购项目，评委会将对通过资格性和符合性检查的投标人进行综合评审，按评审后得分由高到低顺序排列。评审得分相同的，由</w:t>
      </w:r>
      <w:r>
        <w:rPr>
          <w:rFonts w:hint="eastAsia" w:ascii="宋体" w:hAnsi="宋体" w:cs="宋体"/>
          <w:bCs/>
          <w:color w:val="000000" w:themeColor="text1"/>
          <w:sz w:val="24"/>
          <w:szCs w:val="24"/>
          <w:highlight w:val="none"/>
          <w14:textFill>
            <w14:solidFill>
              <w14:schemeClr w14:val="tx1"/>
            </w14:solidFill>
          </w14:textFill>
        </w:rPr>
        <w:t>评委会</w:t>
      </w:r>
      <w:r>
        <w:rPr>
          <w:rFonts w:hint="eastAsia" w:ascii="宋体" w:hAnsi="宋体" w:cs="宋体"/>
          <w:color w:val="000000" w:themeColor="text1"/>
          <w:sz w:val="24"/>
          <w:szCs w:val="24"/>
          <w:highlight w:val="none"/>
          <w14:textFill>
            <w14:solidFill>
              <w14:schemeClr w14:val="tx1"/>
            </w14:solidFill>
          </w14:textFill>
        </w:rPr>
        <w:t>根据招标文件规定的方式（招标文件未规定的采取随机抽取的方式）确定一个中标候选人。</w:t>
      </w:r>
    </w:p>
    <w:p w14:paraId="36A5860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5.7投标人在开、评标全过程中应保持通讯畅通，及时登录苏采云系统查阅、答复相关信息，并安排专人与代理机构及</w:t>
      </w:r>
      <w:r>
        <w:rPr>
          <w:rFonts w:hint="eastAsia" w:ascii="宋体" w:hAnsi="宋体" w:cs="宋体"/>
          <w:bCs/>
          <w:color w:val="000000" w:themeColor="text1"/>
          <w:sz w:val="24"/>
          <w:szCs w:val="24"/>
          <w:highlight w:val="none"/>
          <w14:textFill>
            <w14:solidFill>
              <w14:schemeClr w14:val="tx1"/>
            </w14:solidFill>
          </w14:textFill>
        </w:rPr>
        <w:t>评委会</w:t>
      </w:r>
      <w:r>
        <w:rPr>
          <w:rFonts w:hint="eastAsia" w:ascii="宋体" w:hAnsi="宋体" w:cs="宋体"/>
          <w:color w:val="000000" w:themeColor="text1"/>
          <w:sz w:val="24"/>
          <w:szCs w:val="24"/>
          <w:highlight w:val="none"/>
          <w14:textFill>
            <w14:solidFill>
              <w14:schemeClr w14:val="tx1"/>
            </w14:solidFill>
          </w14:textFill>
        </w:rPr>
        <w:t>联系。</w:t>
      </w:r>
    </w:p>
    <w:p w14:paraId="7589E959">
      <w:pPr>
        <w:keepNext/>
        <w:keepLines/>
        <w:spacing w:line="440" w:lineRule="exact"/>
        <w:ind w:firstLine="480"/>
        <w:outlineLvl w:val="3"/>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bookmarkEnd w:id="200"/>
      <w:bookmarkEnd w:id="201"/>
      <w:bookmarkEnd w:id="202"/>
      <w:r>
        <w:rPr>
          <w:rFonts w:hint="eastAsia" w:ascii="宋体" w:hAnsi="宋体" w:cs="宋体"/>
          <w:color w:val="000000" w:themeColor="text1"/>
          <w:sz w:val="24"/>
          <w:szCs w:val="24"/>
          <w:highlight w:val="none"/>
          <w14:textFill>
            <w14:solidFill>
              <w14:schemeClr w14:val="tx1"/>
            </w14:solidFill>
          </w14:textFill>
        </w:rPr>
        <w:t>.无效投标条款和废标条款</w:t>
      </w:r>
    </w:p>
    <w:p w14:paraId="386CA2EE">
      <w:pPr>
        <w:spacing w:line="440" w:lineRule="exact"/>
        <w:ind w:firstLine="789"/>
        <w:rPr>
          <w:rFonts w:ascii="宋体" w:hAnsi="宋体" w:cs="宋体"/>
          <w:color w:val="000000" w:themeColor="text1"/>
          <w:sz w:val="24"/>
          <w:szCs w:val="24"/>
          <w:highlight w:val="none"/>
          <w14:textFill>
            <w14:solidFill>
              <w14:schemeClr w14:val="tx1"/>
            </w14:solidFill>
          </w14:textFill>
        </w:rPr>
      </w:pPr>
      <w:bookmarkStart w:id="203" w:name="_Toc513029235"/>
      <w:bookmarkStart w:id="204" w:name="_Toc20823307"/>
      <w:bookmarkStart w:id="205" w:name="_Toc16938551"/>
      <w:r>
        <w:rPr>
          <w:rFonts w:hint="eastAsia" w:ascii="宋体" w:hAnsi="宋体" w:cs="宋体"/>
          <w:color w:val="000000" w:themeColor="text1"/>
          <w:sz w:val="24"/>
          <w:szCs w:val="24"/>
          <w:highlight w:val="none"/>
          <w14:textFill>
            <w14:solidFill>
              <w14:schemeClr w14:val="tx1"/>
            </w14:solidFill>
          </w14:textFill>
        </w:rPr>
        <w:t>6.1无效投标条款</w:t>
      </w:r>
    </w:p>
    <w:p w14:paraId="3775ED9E">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 投标人在苏采云系统规定的时间内未成功解密电子投标文件的。</w:t>
      </w:r>
    </w:p>
    <w:p w14:paraId="25F70C92">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6.1.2 投标人未按照招标文件要求上传电子投标文件的。</w:t>
      </w:r>
    </w:p>
    <w:p w14:paraId="1F33E867">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6.1.3同一投标人提交两个（含两个）以上不同的投标报价的。</w:t>
      </w:r>
    </w:p>
    <w:p w14:paraId="685881D7">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6.1.4投标人不具备招标文件中规定资格要求的。</w:t>
      </w:r>
    </w:p>
    <w:p w14:paraId="32EFA21B">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6.1.5投标人的报价超过了采购预算或最高限价的。</w:t>
      </w:r>
    </w:p>
    <w:p w14:paraId="1D5725C2">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6.1.6未通过符合性审查的。</w:t>
      </w:r>
    </w:p>
    <w:p w14:paraId="537B8100">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6.1.7不符合招标文件中规定的实质性要求和条件的</w:t>
      </w:r>
      <w:r>
        <w:rPr>
          <w:rFonts w:hint="eastAsia" w:ascii="宋体" w:hAnsi="宋体"/>
          <w:bCs/>
          <w:color w:val="000000" w:themeColor="text1"/>
          <w:sz w:val="24"/>
          <w:szCs w:val="21"/>
          <w:highlight w:val="none"/>
          <w14:textFill>
            <w14:solidFill>
              <w14:schemeClr w14:val="tx1"/>
            </w14:solidFill>
          </w14:textFill>
        </w:rPr>
        <w:t>（</w:t>
      </w:r>
      <w:r>
        <w:rPr>
          <w:rFonts w:hint="eastAsia" w:ascii="宋体" w:hAnsi="宋体"/>
          <w:bCs/>
          <w:i/>
          <w:color w:val="000000" w:themeColor="text1"/>
          <w:sz w:val="24"/>
          <w:szCs w:val="21"/>
          <w:highlight w:val="none"/>
          <w:u w:val="single"/>
          <w14:textFill>
            <w14:solidFill>
              <w14:schemeClr w14:val="tx1"/>
            </w14:solidFill>
          </w14:textFill>
        </w:rPr>
        <w:t>本招标文件中斜体且有下划线部分为实质性要求和条件）</w:t>
      </w:r>
      <w:r>
        <w:rPr>
          <w:rFonts w:hint="eastAsia" w:ascii="宋体" w:hAnsi="宋体" w:cs="宋体"/>
          <w:bCs/>
          <w:color w:val="000000" w:themeColor="text1"/>
          <w:sz w:val="24"/>
          <w:szCs w:val="24"/>
          <w:highlight w:val="none"/>
          <w14:textFill>
            <w14:solidFill>
              <w14:schemeClr w14:val="tx1"/>
            </w14:solidFill>
          </w14:textFill>
        </w:rPr>
        <w:t>。</w:t>
      </w:r>
    </w:p>
    <w:p w14:paraId="17EB8854">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6.1.8 投标人在中国政府采购网、信用中国网站、信用江苏网站、信用中国（江苏苏州）网站存在下列依法拒绝投标人参加政府采购的失信信息的。</w:t>
      </w:r>
    </w:p>
    <w:p w14:paraId="4AD089CA">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（1）政府采购严重违法记录，即投标人被全国各级财政部门列入“政府采购严重违法失信行为记录名单”，且在处罚有效期内的。</w:t>
      </w:r>
    </w:p>
    <w:p w14:paraId="3DB2761B">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p>
    <w:p w14:paraId="7759CBC8">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6.1.9  投标文件含有采购人不能接受的附加条件的。</w:t>
      </w:r>
    </w:p>
    <w:p w14:paraId="706E5367">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5EB6E3FE">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D81E234">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6.1.12 投标文件未按照招标文件要求加盖CA电子公章的。</w:t>
      </w:r>
    </w:p>
    <w:p w14:paraId="0F04B6F4">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6.1.13其他法律、法规及本招标文件规定的属无效投标的情形。</w:t>
      </w:r>
    </w:p>
    <w:p w14:paraId="2EE85FB0">
      <w:pPr>
        <w:spacing w:line="440" w:lineRule="exact"/>
        <w:ind w:left="479" w:firstLine="24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6.2废标条款</w:t>
      </w:r>
    </w:p>
    <w:p w14:paraId="2FD9B329">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6.2.1符合专业条件的供应商或者对招标文件作实质响应的供应商不足三家的。</w:t>
      </w:r>
    </w:p>
    <w:p w14:paraId="167F8C4D">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6.2.2出现影响采购公正的违法、违规行为的。</w:t>
      </w:r>
    </w:p>
    <w:p w14:paraId="21435D89">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6.2.3因重大变故，采购任务取消的。</w:t>
      </w:r>
    </w:p>
    <w:p w14:paraId="35E14C1F">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6.2.4评标委员会认定招标文件存在歧义、重大缺陷导致评审工作无法进行。</w:t>
      </w:r>
    </w:p>
    <w:p w14:paraId="2BB8FE32">
      <w:pPr>
        <w:spacing w:line="440" w:lineRule="exact"/>
        <w:ind w:left="479"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6.2.5 因</w:t>
      </w:r>
      <w:r>
        <w:rPr>
          <w:rFonts w:hint="eastAsia" w:ascii="宋体" w:hAnsi="宋体" w:cs="宋体"/>
          <w:color w:val="000000" w:themeColor="text1"/>
          <w:sz w:val="24"/>
          <w:szCs w:val="24"/>
          <w:highlight w:val="none"/>
          <w14:textFill>
            <w14:solidFill>
              <w14:schemeClr w14:val="tx1"/>
            </w14:solidFill>
          </w14:textFill>
        </w:rPr>
        <w:t>苏采云系统</w:t>
      </w:r>
      <w:r>
        <w:rPr>
          <w:rFonts w:hint="eastAsia" w:ascii="宋体" w:hAnsi="宋体" w:cs="宋体"/>
          <w:bCs/>
          <w:color w:val="000000" w:themeColor="text1"/>
          <w:sz w:val="24"/>
          <w:szCs w:val="24"/>
          <w:highlight w:val="none"/>
          <w14:textFill>
            <w14:solidFill>
              <w14:schemeClr w14:val="tx1"/>
            </w14:solidFill>
          </w14:textFill>
        </w:rPr>
        <w:t>系统故障原因造成开标不成功的。</w:t>
      </w:r>
    </w:p>
    <w:p w14:paraId="5E86266B">
      <w:pPr>
        <w:spacing w:line="440" w:lineRule="exact"/>
        <w:ind w:left="479" w:firstLine="24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6.3 投标截止时间结束后参加投标的供应商不足三家的处理：</w:t>
      </w:r>
    </w:p>
    <w:p w14:paraId="44C52F4E">
      <w:pPr>
        <w:spacing w:line="440" w:lineRule="exact"/>
        <w:ind w:firstLine="10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6.3.1如出现投标截止时间结束后参加投标的供应商或者在评标期间对招标文件做出实质响应的供应商不足三家情况，按政府采购相关规定执行。</w:t>
      </w:r>
    </w:p>
    <w:p w14:paraId="5848AC77">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206" w:name="_Toc120614219"/>
      <w:bookmarkStart w:id="207" w:name="_Toc22057"/>
      <w:bookmarkStart w:id="208" w:name="_Toc3565"/>
      <w:bookmarkStart w:id="209" w:name="_Toc14618"/>
      <w:bookmarkStart w:id="210" w:name="_Toc29854"/>
      <w:r>
        <w:rPr>
          <w:rFonts w:hint="eastAsia" w:ascii="宋体" w:hAnsi="宋体" w:cs="宋体"/>
          <w:b/>
          <w:bCs/>
          <w:color w:val="000000" w:themeColor="text1"/>
          <w:sz w:val="28"/>
          <w:szCs w:val="28"/>
          <w:highlight w:val="none"/>
          <w14:textFill>
            <w14:solidFill>
              <w14:schemeClr w14:val="tx1"/>
            </w14:solidFill>
          </w14:textFill>
        </w:rPr>
        <w:t>六、</w:t>
      </w:r>
      <w:bookmarkEnd w:id="203"/>
      <w:bookmarkEnd w:id="204"/>
      <w:bookmarkEnd w:id="205"/>
      <w:r>
        <w:rPr>
          <w:rFonts w:hint="eastAsia" w:ascii="宋体" w:hAnsi="宋体" w:cs="宋体"/>
          <w:b/>
          <w:bCs/>
          <w:color w:val="000000" w:themeColor="text1"/>
          <w:sz w:val="28"/>
          <w:szCs w:val="28"/>
          <w:highlight w:val="none"/>
          <w14:textFill>
            <w14:solidFill>
              <w14:schemeClr w14:val="tx1"/>
            </w14:solidFill>
          </w14:textFill>
        </w:rPr>
        <w:t>定标</w:t>
      </w:r>
      <w:bookmarkEnd w:id="206"/>
      <w:bookmarkEnd w:id="207"/>
      <w:bookmarkEnd w:id="208"/>
      <w:bookmarkEnd w:id="209"/>
      <w:bookmarkEnd w:id="210"/>
    </w:p>
    <w:p w14:paraId="36A4CF2C">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bookmarkStart w:id="211" w:name="_Toc513029238"/>
      <w:bookmarkStart w:id="212" w:name="_Toc20823310"/>
      <w:bookmarkStart w:id="213" w:name="_Toc16938554"/>
      <w:r>
        <w:rPr>
          <w:rFonts w:hint="eastAsia" w:ascii="宋体" w:hAnsi="宋体" w:cs="宋体"/>
          <w:bCs/>
          <w:color w:val="000000" w:themeColor="text1"/>
          <w:sz w:val="24"/>
          <w:szCs w:val="24"/>
          <w:highlight w:val="none"/>
          <w14:textFill>
            <w14:solidFill>
              <w14:schemeClr w14:val="tx1"/>
            </w14:solidFill>
          </w14:textFill>
        </w:rPr>
        <w:t>1、</w:t>
      </w:r>
      <w:bookmarkEnd w:id="211"/>
      <w:r>
        <w:rPr>
          <w:rFonts w:hint="eastAsia" w:ascii="宋体" w:hAnsi="宋体" w:cs="宋体"/>
          <w:bCs/>
          <w:color w:val="000000" w:themeColor="text1"/>
          <w:sz w:val="24"/>
          <w:szCs w:val="24"/>
          <w:highlight w:val="none"/>
          <w14:textFill>
            <w14:solidFill>
              <w14:schemeClr w14:val="tx1"/>
            </w14:solidFill>
          </w14:textFill>
        </w:rPr>
        <w:t>确定</w:t>
      </w:r>
      <w:bookmarkEnd w:id="212"/>
      <w:bookmarkEnd w:id="213"/>
      <w:r>
        <w:rPr>
          <w:rFonts w:hint="eastAsia" w:ascii="宋体" w:hAnsi="宋体" w:cs="宋体"/>
          <w:bCs/>
          <w:color w:val="000000" w:themeColor="text1"/>
          <w:sz w:val="24"/>
          <w:szCs w:val="24"/>
          <w:highlight w:val="none"/>
          <w14:textFill>
            <w14:solidFill>
              <w14:schemeClr w14:val="tx1"/>
            </w14:solidFill>
          </w14:textFill>
        </w:rPr>
        <w:t>中标单位</w:t>
      </w:r>
    </w:p>
    <w:p w14:paraId="3F8CCCB9">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1.1中标候选人的选取原则和数量见招标文件第五章规定。 </w:t>
      </w:r>
    </w:p>
    <w:p w14:paraId="4D54BAB7">
      <w:pPr>
        <w:spacing w:line="440" w:lineRule="exact"/>
        <w:ind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1.2 采购人应根据评委会推荐的中标候选人确定中标人。</w:t>
      </w:r>
    </w:p>
    <w:p w14:paraId="213F6D3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1.3 </w:t>
      </w:r>
      <w:r>
        <w:rPr>
          <w:rFonts w:hint="eastAsia" w:ascii="宋体" w:hAnsi="宋体" w:cs="宋体"/>
          <w:color w:val="000000" w:themeColor="text1"/>
          <w:sz w:val="24"/>
          <w:szCs w:val="24"/>
          <w:highlight w:val="none"/>
          <w14:textFill>
            <w14:solidFill>
              <w14:schemeClr w14:val="tx1"/>
            </w14:solidFill>
          </w14:textFill>
        </w:rPr>
        <w:t>代理机构将在指定媒体上发布中标公告，公告期限为1个工作日。</w:t>
      </w:r>
    </w:p>
    <w:p w14:paraId="41FECEEC">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若有充分证据证明，中标人出现下列情况之一的，一经查实，将被取消中标资格：</w:t>
      </w:r>
    </w:p>
    <w:p w14:paraId="3C79E3D0">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1.4.1提供虚假材料谋取中标的。</w:t>
      </w:r>
    </w:p>
    <w:p w14:paraId="7108F4BE">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1.4.2向采购人、代理机构行贿或者提供其他不正当利益的。</w:t>
      </w:r>
    </w:p>
    <w:p w14:paraId="54D4AE68">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1.4.3属于本文件规定的无效条件，但在评标过程中又未被评委会发现的。</w:t>
      </w:r>
    </w:p>
    <w:p w14:paraId="3878C391">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1.4.4与采购人或者其他供应商恶意串通的。</w:t>
      </w:r>
    </w:p>
    <w:p w14:paraId="4517252E">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1.4.5采取不正当手段诋毁、排挤其他供应商的。</w:t>
      </w:r>
    </w:p>
    <w:p w14:paraId="2DA333A4">
      <w:pPr>
        <w:spacing w:line="440" w:lineRule="exact"/>
        <w:ind w:firstLine="789"/>
        <w:rPr>
          <w:rFonts w:ascii="宋体" w:hAnsi="宋体" w:cs="宋体"/>
          <w:color w:val="000000" w:themeColor="text1"/>
          <w:sz w:val="24"/>
          <w:szCs w:val="24"/>
          <w:highlight w:val="none"/>
          <w14:textFill>
            <w14:solidFill>
              <w14:schemeClr w14:val="tx1"/>
            </w14:solidFill>
          </w14:textFill>
        </w:rPr>
      </w:pPr>
      <w:bookmarkStart w:id="214" w:name="_Toc200451960"/>
      <w:r>
        <w:rPr>
          <w:rFonts w:hint="eastAsia" w:ascii="宋体" w:hAnsi="宋体" w:cs="宋体"/>
          <w:color w:val="000000" w:themeColor="text1"/>
          <w:sz w:val="24"/>
          <w:szCs w:val="24"/>
          <w:highlight w:val="none"/>
          <w14:textFill>
            <w14:solidFill>
              <w14:schemeClr w14:val="tx1"/>
            </w14:solidFill>
          </w14:textFill>
        </w:rPr>
        <w:t>1.5. 有下列情形之一的，视为投标人串通投标，投标无效：</w:t>
      </w:r>
    </w:p>
    <w:p w14:paraId="55B4B729">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1.5.1不同投标人的投标文件由同一单位或者个人编制；</w:t>
      </w:r>
    </w:p>
    <w:p w14:paraId="0AE950F3">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1.5.2不同投标人委托同一单位或者个人办理投标事宜；</w:t>
      </w:r>
    </w:p>
    <w:p w14:paraId="61642149">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不同投标人的投标文件载明的项目管理成员或者联系人员为同一人；</w:t>
      </w:r>
    </w:p>
    <w:p w14:paraId="4F155303">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1.5.4不同投标人的投标文件异常一致或者投标报价呈规律性差异；</w:t>
      </w:r>
    </w:p>
    <w:p w14:paraId="6DA734B9">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2、质疑处理</w:t>
      </w:r>
      <w:bookmarkEnd w:id="214"/>
    </w:p>
    <w:p w14:paraId="05CC5711">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 提出质疑的供应商应当是参与所质疑项目采购活动的供应商。潜在供应商依法获取其可质疑的采购文件的，可以对采购文件提出质疑。请将</w:t>
      </w:r>
      <w:bookmarkStart w:id="215" w:name="_Hlk98510751"/>
      <w:r>
        <w:rPr>
          <w:rFonts w:hint="eastAsia" w:ascii="宋体" w:hAnsi="宋体" w:cs="宋体"/>
          <w:color w:val="000000" w:themeColor="text1"/>
          <w:sz w:val="24"/>
          <w:szCs w:val="24"/>
          <w:highlight w:val="none"/>
          <w14:textFill>
            <w14:solidFill>
              <w14:schemeClr w14:val="tx1"/>
            </w14:solidFill>
          </w14:textFill>
        </w:rPr>
        <w:t>获取采购文件后打印留存的《投标供应商确认函》等</w:t>
      </w:r>
      <w:bookmarkEnd w:id="215"/>
      <w:r>
        <w:rPr>
          <w:rFonts w:hint="eastAsia" w:ascii="宋体" w:hAnsi="宋体" w:cs="宋体"/>
          <w:color w:val="000000" w:themeColor="text1"/>
          <w:sz w:val="24"/>
          <w:szCs w:val="24"/>
          <w:highlight w:val="none"/>
          <w14:textFill>
            <w14:solidFill>
              <w14:schemeClr w14:val="tx1"/>
            </w14:solidFill>
          </w14:textFill>
        </w:rPr>
        <w:t>必要的证明材料与质疑函一起递交，否则不予受理。</w:t>
      </w:r>
    </w:p>
    <w:p w14:paraId="6E080C3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2.2供应商认为采购文件、采购过程和采购结果使自己的权益受到损害的，可以在知道或应知其权益受到损害之日起七个工作日内，以书面形式提出质疑。上述应知其权益受到损害之日，是指：</w:t>
      </w:r>
    </w:p>
    <w:p w14:paraId="46F43F1A">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2.2.1对可以质疑的采购文件提出质疑的，为收到采购文件之日或者采购文件公告期限届满之日；</w:t>
      </w:r>
    </w:p>
    <w:p w14:paraId="487EEC5D">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2.2.2对采购过程提出质疑的，为各采购程序环节结束之日；</w:t>
      </w:r>
    </w:p>
    <w:p w14:paraId="229A6EC5">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2.2.3对中标或者成交结果提出质疑的，为中标或者成交结果公告期限届满之日。</w:t>
      </w:r>
    </w:p>
    <w:p w14:paraId="1EC3ED80">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供应商应当在法定质疑期内一次性提出针对同一采购程序环节的质疑。供应商如在法定期限内对同一采购程序环节提出多次质疑的，代理机构、采购人将只对供应商第一次质疑作出答复。</w:t>
      </w:r>
    </w:p>
    <w:p w14:paraId="028440F0">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2.3质疑函必须按照本招标文件中《质疑函范本》要求的格式和内容进行填写。供应商如组成联合体参加投标，则《质疑函范本》中要求签字、盖章、加盖公章之处，联合体各方均须按要求签字、盖章、加盖公章。</w:t>
      </w:r>
    </w:p>
    <w:p w14:paraId="50140626">
      <w:pPr>
        <w:pBdr>
          <w:top w:val="none" w:color="000000" w:sz="0" w:space="0"/>
          <w:left w:val="none" w:color="000000" w:sz="0" w:space="0"/>
          <w:bottom w:val="none" w:color="000000" w:sz="0" w:space="0"/>
          <w:right w:val="none" w:color="000000" w:sz="0" w:space="0"/>
        </w:pBdr>
        <w:spacing w:line="440" w:lineRule="exact"/>
        <w:ind w:firstLine="787"/>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2.4代理机构只接收以纸质原件形式送达的质疑</w:t>
      </w:r>
      <w:r>
        <w:rPr>
          <w:rFonts w:hint="eastAsia" w:ascii="宋体" w:hAnsi="宋体" w:cs="宋体"/>
          <w:b/>
          <w:bCs/>
          <w:color w:val="000000" w:themeColor="text1"/>
          <w:sz w:val="24"/>
          <w:szCs w:val="24"/>
          <w:highlight w:val="none"/>
          <w14:textFill>
            <w14:solidFill>
              <w14:schemeClr w14:val="tx1"/>
            </w14:solidFill>
          </w14:textFill>
        </w:rPr>
        <w:t>（采购人和代理机构不接受未填写快递运单的快件），</w:t>
      </w:r>
      <w:r>
        <w:rPr>
          <w:rFonts w:hint="eastAsia" w:ascii="宋体" w:hAnsi="宋体" w:cs="宋体"/>
          <w:color w:val="000000" w:themeColor="text1"/>
          <w:sz w:val="24"/>
          <w:highlight w:val="none"/>
          <w14:textFill>
            <w14:solidFill>
              <w14:schemeClr w14:val="tx1"/>
            </w14:solidFill>
          </w14:textFill>
        </w:rPr>
        <w:t>质疑接收单位为苏州新一造价师价格事务所有限公司，联系地址：常熟市九里大街5号三楼，联系人：韩忆程，联系电话：189 1565 5067</w:t>
      </w:r>
      <w:r>
        <w:rPr>
          <w:rFonts w:ascii="宋体" w:hAnsi="宋体" w:cs="宋体"/>
          <w:color w:val="000000" w:themeColor="text1"/>
          <w:sz w:val="24"/>
          <w:highlight w:val="none"/>
          <w14:textFill>
            <w14:solidFill>
              <w14:schemeClr w14:val="tx1"/>
            </w14:solidFill>
          </w14:textFill>
        </w:rPr>
        <w:t>。潜在投标人提出书面质疑必须有理、有据，不得捏造事实、提供虚假材料进行恶意质疑。否则，一经查实，将报请监管部门对该供应商进行相应的处罚。</w:t>
      </w:r>
    </w:p>
    <w:p w14:paraId="13A5AF0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以下情形的质疑不予受理</w:t>
      </w:r>
    </w:p>
    <w:p w14:paraId="0A041E86">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2.5.1 内容不符合《政府采购质疑和投诉办法》第十二条规定的质疑。</w:t>
      </w:r>
    </w:p>
    <w:p w14:paraId="2F77AA59">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2.5.2 超出政府采购法定期限的质疑。</w:t>
      </w:r>
    </w:p>
    <w:p w14:paraId="55B82939">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2.5.3 以传真、电子邮件等方式递交的非原件形式的质疑。</w:t>
      </w:r>
    </w:p>
    <w:p w14:paraId="01E78F50">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2.5.4 未参加投标活动的供应商或在投标活动中自身权益未受到损害的供应商所提出的质疑。</w:t>
      </w:r>
    </w:p>
    <w:p w14:paraId="34141F7C">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2.5.5供应商组成联合体参加投标，联合体中任何一方或多方未按要求签字、盖章、加盖公章的质疑。</w:t>
      </w:r>
    </w:p>
    <w:p w14:paraId="1F918FF9">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p>
    <w:p w14:paraId="688E0527">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3、中标通知书</w:t>
      </w:r>
    </w:p>
    <w:p w14:paraId="131D8BC5">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3.l</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88E4FFD">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3.2中标通知书将是合同的一个组成部分。对采购人和中标供应商均具有法律效力。中标通知书发出后，采购人改变中标结果的，或者中标供应商放弃中标项目的，应当依法承担法律责任。</w:t>
      </w:r>
    </w:p>
    <w:p w14:paraId="6A49C4DF">
      <w:pPr>
        <w:keepNext/>
        <w:keepLines/>
        <w:spacing w:line="440" w:lineRule="exact"/>
        <w:ind w:firstLine="562"/>
        <w:outlineLvl w:val="1"/>
        <w:rPr>
          <w:rFonts w:ascii="宋体" w:hAnsi="宋体" w:cs="宋体"/>
          <w:b/>
          <w:bCs/>
          <w:color w:val="000000" w:themeColor="text1"/>
          <w:sz w:val="28"/>
          <w:szCs w:val="28"/>
          <w:highlight w:val="none"/>
          <w14:textFill>
            <w14:solidFill>
              <w14:schemeClr w14:val="tx1"/>
            </w14:solidFill>
          </w14:textFill>
        </w:rPr>
      </w:pPr>
      <w:bookmarkStart w:id="216" w:name="_Toc513029236"/>
      <w:bookmarkStart w:id="217" w:name="_Toc120614220"/>
      <w:bookmarkStart w:id="218" w:name="_Toc20823308"/>
      <w:bookmarkStart w:id="219" w:name="_Toc16938552"/>
      <w:bookmarkStart w:id="220" w:name="_Toc32034"/>
      <w:bookmarkStart w:id="221" w:name="_Toc31221"/>
      <w:bookmarkStart w:id="222" w:name="_Toc8001"/>
      <w:bookmarkStart w:id="223" w:name="_Toc15669"/>
      <w:r>
        <w:rPr>
          <w:rFonts w:hint="eastAsia" w:ascii="宋体" w:hAnsi="宋体" w:cs="宋体"/>
          <w:b/>
          <w:bCs/>
          <w:color w:val="000000" w:themeColor="text1"/>
          <w:sz w:val="28"/>
          <w:szCs w:val="28"/>
          <w:highlight w:val="none"/>
          <w14:textFill>
            <w14:solidFill>
              <w14:schemeClr w14:val="tx1"/>
            </w14:solidFill>
          </w14:textFill>
        </w:rPr>
        <w:t>七、授予合同</w:t>
      </w:r>
      <w:bookmarkEnd w:id="216"/>
      <w:bookmarkEnd w:id="217"/>
      <w:bookmarkEnd w:id="218"/>
      <w:bookmarkEnd w:id="219"/>
      <w:bookmarkEnd w:id="220"/>
      <w:bookmarkEnd w:id="221"/>
      <w:bookmarkEnd w:id="222"/>
      <w:bookmarkEnd w:id="223"/>
    </w:p>
    <w:p w14:paraId="18D7AE36">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bookmarkStart w:id="224" w:name="_Toc513029237"/>
      <w:bookmarkStart w:id="225" w:name="_Toc16938553"/>
      <w:bookmarkStart w:id="226" w:name="_Toc20823309"/>
      <w:r>
        <w:rPr>
          <w:rFonts w:hint="eastAsia" w:ascii="宋体" w:hAnsi="宋体" w:cs="宋体"/>
          <w:bCs/>
          <w:color w:val="000000" w:themeColor="text1"/>
          <w:sz w:val="24"/>
          <w:szCs w:val="24"/>
          <w:highlight w:val="none"/>
          <w14:textFill>
            <w14:solidFill>
              <w14:schemeClr w14:val="tx1"/>
            </w14:solidFill>
          </w14:textFill>
        </w:rPr>
        <w:t>1、签订合同</w:t>
      </w:r>
    </w:p>
    <w:p w14:paraId="00AC4936">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1.l中标人应当在中标通知书发出之日起三十日内，按照招标文件确定的事项与采购人签订政府采购合同。</w:t>
      </w:r>
    </w:p>
    <w:p w14:paraId="54C5FFAB">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w:t>
      </w:r>
      <w:r>
        <w:rPr>
          <w:rFonts w:hint="eastAsia" w:ascii="宋体" w:hAnsi="宋体" w:cs="宋体"/>
          <w:b/>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招标文件、中标人的投标文件及招标过程中有关澄清、承诺文件均应作为合同附件。</w:t>
      </w:r>
    </w:p>
    <w:p w14:paraId="06A99662">
      <w:pPr>
        <w:spacing w:line="440" w:lineRule="exact"/>
        <w:ind w:firstLine="78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 签订合同后，</w:t>
      </w:r>
      <w:r>
        <w:rPr>
          <w:rFonts w:hint="eastAsia" w:ascii="宋体" w:hAnsi="宋体" w:cs="宋体"/>
          <w:i/>
          <w:color w:val="000000" w:themeColor="text1"/>
          <w:sz w:val="24"/>
          <w:szCs w:val="24"/>
          <w:highlight w:val="none"/>
          <w:u w:val="single"/>
          <w14:textFill>
            <w14:solidFill>
              <w14:schemeClr w14:val="tx1"/>
            </w14:solidFill>
          </w14:textFill>
        </w:rPr>
        <w:t>中标人不得将合同标的进行转包</w:t>
      </w:r>
      <w:r>
        <w:rPr>
          <w:rFonts w:hint="eastAsia" w:ascii="宋体" w:hAnsi="宋体" w:cs="宋体"/>
          <w:color w:val="000000" w:themeColor="text1"/>
          <w:sz w:val="24"/>
          <w:szCs w:val="24"/>
          <w:highlight w:val="none"/>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6462FA54">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2、服务（包含与项目有关的服务）的追加</w:t>
      </w:r>
    </w:p>
    <w:p w14:paraId="54258C87">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2.1政府采购合同履行中，采购人需追加与合同标的相同的服务（包含与项目有关的服务）的，在不改变合同其他条款的前提下，可以与中标人协商签订补充合同，但所有补充合同的采购金额不超过原合同金额10%。</w:t>
      </w:r>
      <w:bookmarkEnd w:id="224"/>
      <w:bookmarkEnd w:id="225"/>
      <w:bookmarkEnd w:id="226"/>
    </w:p>
    <w:p w14:paraId="71F990BF">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bookmarkStart w:id="227" w:name="_Toc16938558"/>
      <w:bookmarkStart w:id="228" w:name="_Toc513029242"/>
      <w:bookmarkStart w:id="229" w:name="_Toc20823314"/>
      <w:bookmarkStart w:id="230" w:name="_Toc479757207"/>
      <w:bookmarkStart w:id="231" w:name="_Toc120614221"/>
      <w:r>
        <w:rPr>
          <w:rFonts w:hint="eastAsia" w:ascii="宋体" w:hAnsi="宋体" w:cs="宋体"/>
          <w:bCs/>
          <w:color w:val="000000" w:themeColor="text1"/>
          <w:sz w:val="24"/>
          <w:szCs w:val="24"/>
          <w:highlight w:val="none"/>
          <w14:textFill>
            <w14:solidFill>
              <w14:schemeClr w14:val="tx1"/>
            </w14:solidFill>
          </w14:textFill>
        </w:rPr>
        <w:t>3、政府采购信用融资政策</w:t>
      </w:r>
    </w:p>
    <w:p w14:paraId="51B29817">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中标供应商可凭政府采购合同办理融资贷款，详情请见苏州市政府采购网“政府采购合同信用融资”专栏。</w:t>
      </w:r>
    </w:p>
    <w:p w14:paraId="02CBF796">
      <w:pPr>
        <w:keepNext/>
        <w:keepLines/>
        <w:spacing w:line="440" w:lineRule="exact"/>
        <w:ind w:firstLine="480"/>
        <w:outlineLvl w:val="3"/>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4、合同公示</w:t>
      </w:r>
    </w:p>
    <w:p w14:paraId="19FA4404">
      <w:pPr>
        <w:spacing w:line="440" w:lineRule="exact"/>
        <w:ind w:firstLine="1027"/>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4.1采购合同将在签订之日起2个工作日内在指定媒体公示，涉及国家秘密、商业秘密的内容除外。</w:t>
      </w:r>
    </w:p>
    <w:p w14:paraId="3CB1D462">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11022AC2">
      <w:pPr>
        <w:keepNext/>
        <w:ind w:firstLine="880"/>
        <w:jc w:val="center"/>
        <w:outlineLvl w:val="0"/>
        <w:rPr>
          <w:rFonts w:ascii="黑体" w:hAnsi="Times New Roman" w:eastAsia="黑体"/>
          <w:bCs/>
          <w:color w:val="000000" w:themeColor="text1"/>
          <w:sz w:val="44"/>
          <w:szCs w:val="28"/>
          <w:highlight w:val="none"/>
          <w14:textFill>
            <w14:solidFill>
              <w14:schemeClr w14:val="tx1"/>
            </w14:solidFill>
          </w14:textFill>
        </w:rPr>
      </w:pPr>
      <w:bookmarkStart w:id="232" w:name="_Toc18520"/>
      <w:bookmarkStart w:id="233" w:name="_Toc10899"/>
      <w:bookmarkStart w:id="234" w:name="_Toc29161"/>
      <w:bookmarkStart w:id="235" w:name="_Toc2596"/>
      <w:r>
        <w:rPr>
          <w:rFonts w:hint="eastAsia" w:ascii="黑体" w:hAnsi="Times New Roman" w:eastAsia="黑体"/>
          <w:bCs/>
          <w:color w:val="000000" w:themeColor="text1"/>
          <w:sz w:val="44"/>
          <w:szCs w:val="28"/>
          <w:highlight w:val="none"/>
          <w14:textFill>
            <w14:solidFill>
              <w14:schemeClr w14:val="tx1"/>
            </w14:solidFill>
          </w14:textFill>
        </w:rPr>
        <w:t>第三章  合同</w:t>
      </w:r>
      <w:bookmarkEnd w:id="227"/>
      <w:bookmarkEnd w:id="228"/>
      <w:bookmarkEnd w:id="229"/>
      <w:bookmarkEnd w:id="230"/>
      <w:bookmarkEnd w:id="231"/>
      <w:r>
        <w:rPr>
          <w:rFonts w:hint="eastAsia" w:ascii="黑体" w:hAnsi="Times New Roman" w:eastAsia="黑体"/>
          <w:bCs/>
          <w:color w:val="000000" w:themeColor="text1"/>
          <w:sz w:val="44"/>
          <w:szCs w:val="28"/>
          <w:highlight w:val="none"/>
          <w14:textFill>
            <w14:solidFill>
              <w14:schemeClr w14:val="tx1"/>
            </w14:solidFill>
          </w14:textFill>
        </w:rPr>
        <w:t>文本</w:t>
      </w:r>
      <w:bookmarkEnd w:id="232"/>
      <w:bookmarkEnd w:id="233"/>
      <w:bookmarkEnd w:id="234"/>
      <w:bookmarkEnd w:id="235"/>
    </w:p>
    <w:p w14:paraId="6276D4AD">
      <w:pPr>
        <w:spacing w:line="660" w:lineRule="exact"/>
        <w:ind w:left="6237" w:right="-27"/>
        <w:rPr>
          <w:rFonts w:ascii="宋体" w:hAnsi="宋体" w:cs="宋体"/>
          <w:bCs/>
          <w:color w:val="000000" w:themeColor="text1"/>
          <w:sz w:val="24"/>
          <w:szCs w:val="24"/>
          <w:highlight w:val="none"/>
          <w14:textFill>
            <w14:solidFill>
              <w14:schemeClr w14:val="tx1"/>
            </w14:solidFill>
          </w14:textFill>
        </w:rPr>
      </w:pPr>
      <w:bookmarkStart w:id="236" w:name="_Hlt16619369"/>
      <w:bookmarkEnd w:id="236"/>
      <w:bookmarkStart w:id="237" w:name="_Hlt16619350"/>
      <w:bookmarkStart w:id="238" w:name="_Toc120614244"/>
      <w:bookmarkStart w:id="239" w:name="_Toc16938590"/>
      <w:bookmarkStart w:id="240" w:name="_Toc20823346"/>
      <w:bookmarkStart w:id="241" w:name="_Toc462564139"/>
      <w:bookmarkStart w:id="242" w:name="_Toc479757211"/>
      <w:r>
        <w:rPr>
          <w:rFonts w:hint="eastAsia" w:ascii="宋体" w:hAnsi="宋体" w:cs="宋体"/>
          <w:bCs/>
          <w:color w:val="000000" w:themeColor="text1"/>
          <w:sz w:val="24"/>
          <w:szCs w:val="24"/>
          <w:highlight w:val="none"/>
          <w14:textFill>
            <w14:solidFill>
              <w14:schemeClr w14:val="tx1"/>
            </w14:solidFill>
          </w14:textFill>
        </w:rPr>
        <w:t>编号：</w:t>
      </w:r>
    </w:p>
    <w:p w14:paraId="0F02EADB">
      <w:pPr>
        <w:spacing w:line="440" w:lineRule="exact"/>
        <w:ind w:left="6237" w:right="-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签订地点：常熟市</w:t>
      </w:r>
    </w:p>
    <w:p w14:paraId="2D786FBE">
      <w:pPr>
        <w:tabs>
          <w:tab w:val="left" w:pos="0"/>
        </w:tabs>
        <w:spacing w:line="440" w:lineRule="exact"/>
        <w:ind w:right="-27"/>
        <w:rPr>
          <w:rFonts w:ascii="宋体" w:hAnsi="宋体" w:cs="宋体"/>
          <w:bCs/>
          <w:color w:val="000000" w:themeColor="text1"/>
          <w:sz w:val="24"/>
          <w:szCs w:val="24"/>
          <w:highlight w:val="none"/>
          <w14:textFill>
            <w14:solidFill>
              <w14:schemeClr w14:val="tx1"/>
            </w14:solidFill>
          </w14:textFill>
        </w:rPr>
      </w:pPr>
    </w:p>
    <w:p w14:paraId="2582BCA7">
      <w:pPr>
        <w:tabs>
          <w:tab w:val="left" w:pos="0"/>
        </w:tabs>
        <w:spacing w:line="440" w:lineRule="exact"/>
        <w:ind w:right="-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甲方：</w:t>
      </w:r>
      <w:r>
        <w:rPr>
          <w:rFonts w:hint="eastAsia" w:ascii="宋体" w:hAnsi="宋体" w:cs="宋体"/>
          <w:bCs/>
          <w:color w:val="000000" w:themeColor="text1"/>
          <w:sz w:val="24"/>
          <w:szCs w:val="24"/>
          <w:highlight w:val="none"/>
          <w:u w:val="single"/>
          <w14:textFill>
            <w14:solidFill>
              <w14:schemeClr w14:val="tx1"/>
            </w14:solidFill>
          </w14:textFill>
        </w:rPr>
        <w:t xml:space="preserve">常熟市水利工程建设管理中心   </w:t>
      </w:r>
    </w:p>
    <w:p w14:paraId="047B79EE">
      <w:pPr>
        <w:tabs>
          <w:tab w:val="left" w:pos="0"/>
        </w:tabs>
        <w:spacing w:line="480" w:lineRule="exact"/>
        <w:ind w:right="-27"/>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乙方：</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3D620284">
      <w:pPr>
        <w:spacing w:line="440" w:lineRule="exact"/>
        <w:rPr>
          <w:bCs/>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信用融资回款账户：</w:t>
      </w:r>
      <w:r>
        <w:rPr>
          <w:rFonts w:hint="eastAsia"/>
          <w:bCs/>
          <w:color w:val="000000" w:themeColor="text1"/>
          <w:sz w:val="24"/>
          <w:szCs w:val="24"/>
          <w:highlight w:val="none"/>
          <w:u w:val="single"/>
          <w14:textFill>
            <w14:solidFill>
              <w14:schemeClr w14:val="tx1"/>
            </w14:solidFill>
          </w14:textFill>
        </w:rPr>
        <w:t xml:space="preserve">                               </w:t>
      </w:r>
      <w:r>
        <w:rPr>
          <w:rFonts w:hint="eastAsia"/>
          <w:bCs/>
          <w:color w:val="000000" w:themeColor="text1"/>
          <w:sz w:val="24"/>
          <w:szCs w:val="24"/>
          <w:highlight w:val="none"/>
          <w14:textFill>
            <w14:solidFill>
              <w14:schemeClr w14:val="tx1"/>
            </w14:solidFill>
          </w14:textFill>
        </w:rPr>
        <w:t>（如无可不填写）</w:t>
      </w:r>
    </w:p>
    <w:p w14:paraId="397F339B">
      <w:pPr>
        <w:tabs>
          <w:tab w:val="left" w:pos="0"/>
        </w:tabs>
        <w:spacing w:line="440" w:lineRule="exact"/>
        <w:ind w:right="-27"/>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开户银行：</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2530FE2F">
      <w:pPr>
        <w:tabs>
          <w:tab w:val="left" w:pos="0"/>
        </w:tabs>
        <w:spacing w:line="480" w:lineRule="exact"/>
        <w:ind w:right="-27" w:firstLine="480"/>
        <w:rPr>
          <w:rFonts w:ascii="宋体" w:hAnsi="宋体" w:cs="宋体"/>
          <w:bCs/>
          <w:color w:val="000000" w:themeColor="text1"/>
          <w:sz w:val="24"/>
          <w:szCs w:val="24"/>
          <w:highlight w:val="none"/>
          <w14:textFill>
            <w14:solidFill>
              <w14:schemeClr w14:val="tx1"/>
            </w14:solidFill>
          </w14:textFill>
        </w:rPr>
      </w:pPr>
    </w:p>
    <w:p w14:paraId="5681BF8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根据《中华人民共和国政府采购法》及其实施条例、《中华人民共和国民法典》等法律法规的规定，甲乙双方按照</w:t>
      </w:r>
      <w:r>
        <w:rPr>
          <w:rFonts w:hint="eastAsia" w:ascii="宋体" w:hAnsi="宋体"/>
          <w:color w:val="000000" w:themeColor="text1"/>
          <w:sz w:val="24"/>
          <w:szCs w:val="24"/>
          <w:highlight w:val="none"/>
          <w:u w:val="single"/>
          <w14:textFill>
            <w14:solidFill>
              <w14:schemeClr w14:val="tx1"/>
            </w14:solidFill>
          </w14:textFill>
        </w:rPr>
        <w:t>昆承湖幸福河湖建设信息化设备</w:t>
      </w:r>
      <w:r>
        <w:rPr>
          <w:rFonts w:hint="eastAsia" w:ascii="宋体" w:hAnsi="宋体" w:cs="宋体"/>
          <w:bCs/>
          <w:color w:val="000000" w:themeColor="text1"/>
          <w:sz w:val="24"/>
          <w:szCs w:val="24"/>
          <w:highlight w:val="none"/>
          <w14:textFill>
            <w14:solidFill>
              <w14:schemeClr w14:val="tx1"/>
            </w14:solidFill>
          </w14:textFill>
        </w:rPr>
        <w:t>项目（项目编号：</w:t>
      </w:r>
      <w:r>
        <w:rPr>
          <w:rFonts w:ascii="宋体" w:hAnsi="宋体"/>
          <w:color w:val="000000" w:themeColor="text1"/>
          <w:sz w:val="24"/>
          <w:szCs w:val="24"/>
          <w:highlight w:val="none"/>
          <w:u w:val="single"/>
          <w14:textFill>
            <w14:solidFill>
              <w14:schemeClr w14:val="tx1"/>
            </w14:solidFill>
          </w14:textFill>
        </w:rPr>
        <w:t>(</w:t>
      </w:r>
      <w:r>
        <w:rPr>
          <w:rFonts w:hint="eastAsia" w:ascii="宋体" w:hAnsi="宋体"/>
          <w:color w:val="000000" w:themeColor="text1"/>
          <w:sz w:val="24"/>
          <w:szCs w:val="24"/>
          <w:highlight w:val="none"/>
          <w:u w:val="single"/>
          <w:lang w:eastAsia="zh-CN"/>
          <w14:textFill>
            <w14:solidFill>
              <w14:schemeClr w14:val="tx1"/>
            </w14:solidFill>
          </w14:textFill>
        </w:rPr>
        <w:t>JSZC-320581-SZXY-G2025-0056</w:t>
      </w:r>
      <w:r>
        <w:rPr>
          <w:rFonts w:hint="eastAsia" w:ascii="宋体" w:hAnsi="宋体" w:cs="宋体"/>
          <w:bCs/>
          <w:color w:val="000000" w:themeColor="text1"/>
          <w:sz w:val="24"/>
          <w:szCs w:val="24"/>
          <w:highlight w:val="none"/>
          <w14:textFill>
            <w14:solidFill>
              <w14:schemeClr w14:val="tx1"/>
            </w14:solidFill>
          </w14:textFill>
        </w:rPr>
        <w:t>）政府采购结果签订本合同。</w:t>
      </w:r>
    </w:p>
    <w:p w14:paraId="0DF307E4">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第一条 定义</w:t>
      </w:r>
    </w:p>
    <w:p w14:paraId="675502B7">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除非另有特别解释或说明，本合同有关词语应按如下定义解释：</w:t>
      </w:r>
    </w:p>
    <w:p w14:paraId="3C661DF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1、合同：甲乙双方签署的，与本项目相关的合同书、附件、附录、其他文件以及政府采购程序中的全部文件。</w:t>
      </w:r>
    </w:p>
    <w:p w14:paraId="172F4CD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2、甲方：购买本合同项下服务的国家机关、事业单位、团体组织。</w:t>
      </w:r>
    </w:p>
    <w:p w14:paraId="26762E10">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3、乙方：提供本合同项下服务的法人、其他组织或自然人。</w:t>
      </w:r>
    </w:p>
    <w:p w14:paraId="10565346">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4、货物：根据合同规定乙方为完成本项目应向甲方提供的一切货物及备件、工具、手册、技术资料及其他材料。</w:t>
      </w:r>
    </w:p>
    <w:p w14:paraId="315E8322">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5、服务：根据合同规定乙方承担的与货物有关的辅助服务，包括但不限于货物的运输、保险、伴随服务（如安装、调试、测试、提供技术指导和支持、培训等）、售后服务及其他所有应由乙方承担的类似义务。</w:t>
      </w:r>
    </w:p>
    <w:p w14:paraId="38DB710E">
      <w:pPr>
        <w:spacing w:line="440" w:lineRule="exact"/>
        <w:ind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w:t>
      </w:r>
      <w:r>
        <w:rPr>
          <w:rFonts w:hint="eastAsia" w:ascii="Times New Roman" w:hAnsi="Times New Roman" w:cs="宋体"/>
          <w:color w:val="000000" w:themeColor="text1"/>
          <w:sz w:val="24"/>
          <w:highlight w:val="none"/>
          <w:lang w:bidi="ar"/>
          <w14:textFill>
            <w14:solidFill>
              <w14:schemeClr w14:val="tx1"/>
            </w14:solidFill>
          </w14:textFill>
        </w:rPr>
        <w:t>合同总价：根据合同规定乙方在正确、及时、全面履行合同义务后甲方应支付给乙方的价款，包含了甲方购买货物及其相关服务的一切费用，包括但不限于货物本身的价值金额、乙方的利润、增值税及其他乙方应缴的税金</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s="宋体"/>
          <w:color w:val="000000" w:themeColor="text1"/>
          <w:sz w:val="24"/>
          <w:highlight w:val="none"/>
          <w:lang w:bidi="ar"/>
          <w14:textFill>
            <w14:solidFill>
              <w14:schemeClr w14:val="tx1"/>
            </w14:solidFill>
          </w14:textFill>
        </w:rPr>
        <w:t>安装费</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s="宋体"/>
          <w:color w:val="000000" w:themeColor="text1"/>
          <w:sz w:val="24"/>
          <w:highlight w:val="none"/>
          <w:lang w:bidi="ar"/>
          <w14:textFill>
            <w14:solidFill>
              <w14:schemeClr w14:val="tx1"/>
            </w14:solidFill>
          </w14:textFill>
        </w:rPr>
        <w:t>调试费</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s="宋体"/>
          <w:color w:val="000000" w:themeColor="text1"/>
          <w:sz w:val="24"/>
          <w:highlight w:val="none"/>
          <w:lang w:bidi="ar"/>
          <w14:textFill>
            <w14:solidFill>
              <w14:schemeClr w14:val="tx1"/>
            </w14:solidFill>
          </w14:textFill>
        </w:rPr>
        <w:t>人工费</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s="宋体"/>
          <w:color w:val="000000" w:themeColor="text1"/>
          <w:sz w:val="24"/>
          <w:highlight w:val="none"/>
          <w:lang w:bidi="ar"/>
          <w14:textFill>
            <w14:solidFill>
              <w14:schemeClr w14:val="tx1"/>
            </w14:solidFill>
          </w14:textFill>
        </w:rPr>
        <w:t>技术支持与培训费</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s="宋体"/>
          <w:color w:val="000000" w:themeColor="text1"/>
          <w:sz w:val="24"/>
          <w:highlight w:val="none"/>
          <w:lang w:bidi="ar"/>
          <w14:textFill>
            <w14:solidFill>
              <w14:schemeClr w14:val="tx1"/>
            </w14:solidFill>
          </w14:textFill>
        </w:rPr>
        <w:t>运输装卸费</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s="宋体"/>
          <w:color w:val="000000" w:themeColor="text1"/>
          <w:sz w:val="24"/>
          <w:highlight w:val="none"/>
          <w:lang w:bidi="ar"/>
          <w14:textFill>
            <w14:solidFill>
              <w14:schemeClr w14:val="tx1"/>
            </w14:solidFill>
          </w14:textFill>
        </w:rPr>
        <w:t>保险费用</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s="宋体"/>
          <w:color w:val="000000" w:themeColor="text1"/>
          <w:sz w:val="24"/>
          <w:highlight w:val="none"/>
          <w:lang w:bidi="ar"/>
          <w14:textFill>
            <w14:solidFill>
              <w14:schemeClr w14:val="tx1"/>
            </w14:solidFill>
          </w14:textFill>
        </w:rPr>
        <w:t>样品费用等一切费用，乙方不得以任何理由要求甲方（或集中建设单位）支付任何额外的费用。</w:t>
      </w:r>
    </w:p>
    <w:p w14:paraId="6DBBEA74">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第二条 组成本合同的文件</w:t>
      </w:r>
    </w:p>
    <w:p w14:paraId="3F2ADCB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、下列文件是组成本合同的不可分割的部分：</w:t>
      </w:r>
    </w:p>
    <w:p w14:paraId="5291CD0F">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①中标通知书；</w:t>
      </w:r>
    </w:p>
    <w:p w14:paraId="10D9AF62">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②招标文件（以下统称“采购文件”）；</w:t>
      </w:r>
    </w:p>
    <w:p w14:paraId="388F238E">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③乙方的投标文件；</w:t>
      </w:r>
    </w:p>
    <w:p w14:paraId="089DFFD1">
      <w:pPr>
        <w:tabs>
          <w:tab w:val="left" w:pos="0"/>
        </w:tabs>
        <w:spacing w:line="440" w:lineRule="exact"/>
        <w:ind w:right="-27"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④乙方在投标过程中所作的其它承诺、声明、书面澄清等。</w:t>
      </w:r>
    </w:p>
    <w:p w14:paraId="57DCC692">
      <w:pPr>
        <w:tabs>
          <w:tab w:val="left" w:pos="0"/>
        </w:tabs>
        <w:spacing w:line="440" w:lineRule="exact"/>
        <w:ind w:right="-27" w:firstLine="480"/>
        <w:rPr>
          <w:rFonts w:ascii="宋体" w:hAnsi="宋体"/>
          <w:color w:val="000000" w:themeColor="text1"/>
          <w:sz w:val="24"/>
          <w:szCs w:val="24"/>
          <w:highlight w:val="none"/>
          <w14:textFill>
            <w14:solidFill>
              <w14:schemeClr w14:val="tx1"/>
            </w14:solidFill>
          </w14:textFill>
        </w:rPr>
      </w:pPr>
      <w:bookmarkStart w:id="243" w:name="_Hlk144021334"/>
      <w:r>
        <w:rPr>
          <w:rFonts w:hint="eastAsia" w:ascii="宋体" w:hAnsi="宋体"/>
          <w:color w:val="000000" w:themeColor="text1"/>
          <w:sz w:val="24"/>
          <w:szCs w:val="24"/>
          <w:highlight w:val="none"/>
          <w14:textFill>
            <w14:solidFill>
              <w14:schemeClr w14:val="tx1"/>
            </w14:solidFill>
          </w14:textFill>
        </w:rPr>
        <w:t>2、上述文件之间如果出现不一致的，以甲方文件确定的内容为准，但乙方文件的内容对甲方更有利的，适用乙方文件。</w:t>
      </w:r>
    </w:p>
    <w:p w14:paraId="7A6AB15A">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3、乙方文件应当符合采购文件确定的原则，如果乙方文件中的表述，形式上符合招标文件原则，但具体内容对甲方不利、对乙方有利的，视为背离采购文件，不予适用。</w:t>
      </w:r>
      <w:bookmarkEnd w:id="243"/>
    </w:p>
    <w:p w14:paraId="43EA3FB9">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第三条 合同货物</w:t>
      </w:r>
    </w:p>
    <w:p w14:paraId="681E4D16">
      <w:pPr>
        <w:tabs>
          <w:tab w:val="left" w:pos="0"/>
        </w:tabs>
        <w:spacing w:line="440" w:lineRule="exact"/>
        <w:ind w:right="-27"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合同货物清单详见采购文件；乙方负责按照合同要求向甲方提供前述清单中的货物。</w:t>
      </w:r>
    </w:p>
    <w:p w14:paraId="54729A94">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第四条 合同总价</w:t>
      </w:r>
    </w:p>
    <w:p w14:paraId="2662229A">
      <w:pPr>
        <w:spacing w:line="440" w:lineRule="exact"/>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lang w:bidi="ar"/>
          <w14:textFill>
            <w14:solidFill>
              <w14:schemeClr w14:val="tx1"/>
            </w14:solidFill>
          </w14:textFill>
        </w:rPr>
        <w:t>1</w:t>
      </w:r>
      <w:r>
        <w:rPr>
          <w:rFonts w:hint="eastAsia" w:ascii="Times New Roman" w:hAnsi="Times New Roman" w:cs="宋体"/>
          <w:color w:val="000000" w:themeColor="text1"/>
          <w:sz w:val="24"/>
          <w:highlight w:val="none"/>
          <w:lang w:bidi="ar"/>
          <w14:textFill>
            <w14:solidFill>
              <w14:schemeClr w14:val="tx1"/>
            </w14:solidFill>
          </w14:textFill>
        </w:rPr>
        <w:t>、合同总价按此次采购结果执行，总金额为人民币</w:t>
      </w:r>
      <w:r>
        <w:rPr>
          <w:rFonts w:ascii="Times New Roman" w:hAnsi="Times New Roman"/>
          <w:color w:val="000000" w:themeColor="text1"/>
          <w:sz w:val="24"/>
          <w:highlight w:val="none"/>
          <w:u w:val="single"/>
          <w:lang w:bidi="ar"/>
          <w14:textFill>
            <w14:solidFill>
              <w14:schemeClr w14:val="tx1"/>
            </w14:solidFill>
          </w14:textFill>
        </w:rPr>
        <w:t xml:space="preserve">          </w:t>
      </w:r>
      <w:r>
        <w:rPr>
          <w:rFonts w:hint="eastAsia" w:ascii="Times New Roman" w:hAnsi="Times New Roman" w:cs="宋体"/>
          <w:color w:val="000000" w:themeColor="text1"/>
          <w:sz w:val="24"/>
          <w:highlight w:val="none"/>
          <w:lang w:bidi="ar"/>
          <w14:textFill>
            <w14:solidFill>
              <w14:schemeClr w14:val="tx1"/>
            </w14:solidFill>
          </w14:textFill>
        </w:rPr>
        <w:t>元（大写</w:t>
      </w:r>
      <w:r>
        <w:rPr>
          <w:rFonts w:ascii="Times New Roman" w:hAnsi="Times New Roman"/>
          <w:color w:val="000000" w:themeColor="text1"/>
          <w:sz w:val="24"/>
          <w:highlight w:val="none"/>
          <w:u w:val="single"/>
          <w:lang w:bidi="ar"/>
          <w14:textFill>
            <w14:solidFill>
              <w14:schemeClr w14:val="tx1"/>
            </w14:solidFill>
          </w14:textFill>
        </w:rPr>
        <w:t xml:space="preserve">           </w:t>
      </w:r>
      <w:r>
        <w:rPr>
          <w:rFonts w:hint="eastAsia" w:ascii="Times New Roman" w:hAnsi="Times New Roman" w:cs="宋体"/>
          <w:color w:val="000000" w:themeColor="text1"/>
          <w:sz w:val="24"/>
          <w:highlight w:val="none"/>
          <w:lang w:bidi="ar"/>
          <w14:textFill>
            <w14:solidFill>
              <w14:schemeClr w14:val="tx1"/>
            </w14:solidFill>
          </w14:textFill>
        </w:rPr>
        <w:t>）。</w:t>
      </w:r>
    </w:p>
    <w:p w14:paraId="3FD25AEF">
      <w:pPr>
        <w:tabs>
          <w:tab w:val="left" w:pos="0"/>
        </w:tabs>
        <w:spacing w:line="46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第五条 付款方式 </w:t>
      </w:r>
    </w:p>
    <w:p w14:paraId="33FD61E0">
      <w:pPr>
        <w:spacing w:line="440" w:lineRule="exact"/>
        <w:ind w:firstLine="480"/>
        <w:rPr>
          <w:rFonts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1、合同签订后的一个月内，甲方向乙方支付合同总价的</w:t>
      </w:r>
      <w:r>
        <w:rPr>
          <w:rFonts w:hint="eastAsia" w:ascii="Times New Roman" w:hAnsi="Times New Roman"/>
          <w:color w:val="000000" w:themeColor="text1"/>
          <w:sz w:val="24"/>
          <w:highlight w:val="none"/>
          <w:lang w:val="en-US" w:eastAsia="zh-CN" w:bidi="ar"/>
          <w14:textFill>
            <w14:solidFill>
              <w14:schemeClr w14:val="tx1"/>
            </w14:solidFill>
          </w14:textFill>
        </w:rPr>
        <w:t>70</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highlight w:val="none"/>
          <w:lang w:bidi="ar"/>
          <w14:textFill>
            <w14:solidFill>
              <w14:schemeClr w14:val="tx1"/>
            </w14:solidFill>
          </w14:textFill>
        </w:rPr>
        <w:t>作为预付款；</w:t>
      </w:r>
    </w:p>
    <w:p w14:paraId="3BE40026">
      <w:pPr>
        <w:spacing w:line="440" w:lineRule="exact"/>
        <w:ind w:firstLine="480"/>
        <w:rPr>
          <w:rFonts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val="en-US" w:eastAsia="zh-CN" w:bidi="ar"/>
          <w14:textFill>
            <w14:solidFill>
              <w14:schemeClr w14:val="tx1"/>
            </w14:solidFill>
          </w14:textFill>
        </w:rPr>
        <w:t>2</w:t>
      </w:r>
      <w:r>
        <w:rPr>
          <w:rFonts w:hint="eastAsia" w:ascii="Times New Roman" w:hAnsi="Times New Roman"/>
          <w:color w:val="000000" w:themeColor="text1"/>
          <w:sz w:val="24"/>
          <w:highlight w:val="none"/>
          <w:lang w:bidi="ar"/>
          <w14:textFill>
            <w14:solidFill>
              <w14:schemeClr w14:val="tx1"/>
            </w14:solidFill>
          </w14:textFill>
        </w:rPr>
        <w:t>、乙方提供的货物经甲方验收合格后的两个月内，甲方向乙方支付至合同总价的90</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highlight w:val="none"/>
          <w:lang w:bidi="ar"/>
          <w14:textFill>
            <w14:solidFill>
              <w14:schemeClr w14:val="tx1"/>
            </w14:solidFill>
          </w14:textFill>
        </w:rPr>
        <w:t>；</w:t>
      </w:r>
    </w:p>
    <w:p w14:paraId="02D34418">
      <w:pPr>
        <w:spacing w:line="440" w:lineRule="exact"/>
        <w:ind w:firstLine="480"/>
        <w:rPr>
          <w:rFonts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3、安装调试验收合格之日起一周年后的农历年前，甲方向乙方支付至合同总价的100%。</w:t>
      </w:r>
    </w:p>
    <w:p w14:paraId="7B49DC33">
      <w:pPr>
        <w:spacing w:line="440" w:lineRule="exact"/>
        <w:ind w:left="50" w:right="50" w:firstLine="480"/>
        <w:rPr>
          <w:iCs/>
          <w:color w:val="000000" w:themeColor="text1"/>
          <w:sz w:val="24"/>
          <w:szCs w:val="24"/>
          <w:highlight w:val="none"/>
          <w14:textFill>
            <w14:solidFill>
              <w14:schemeClr w14:val="tx1"/>
            </w14:solidFill>
          </w14:textFill>
        </w:rPr>
      </w:pPr>
      <w:r>
        <w:rPr>
          <w:rFonts w:hint="eastAsia"/>
          <w:iCs/>
          <w:color w:val="000000" w:themeColor="text1"/>
          <w:sz w:val="24"/>
          <w:szCs w:val="24"/>
          <w:highlight w:val="none"/>
          <w14:textFill>
            <w14:solidFill>
              <w14:schemeClr w14:val="tx1"/>
            </w14:solidFill>
          </w14:textFill>
        </w:rPr>
        <w:t>注：（</w:t>
      </w:r>
      <w:r>
        <w:rPr>
          <w:iCs/>
          <w:color w:val="000000" w:themeColor="text1"/>
          <w:sz w:val="24"/>
          <w:szCs w:val="24"/>
          <w:highlight w:val="none"/>
          <w14:textFill>
            <w14:solidFill>
              <w14:schemeClr w14:val="tx1"/>
            </w14:solidFill>
          </w14:textFill>
        </w:rPr>
        <w:t>1</w:t>
      </w:r>
      <w:r>
        <w:rPr>
          <w:rFonts w:hint="eastAsia"/>
          <w:iCs/>
          <w:color w:val="000000" w:themeColor="text1"/>
          <w:sz w:val="24"/>
          <w:szCs w:val="24"/>
          <w:highlight w:val="none"/>
          <w14:textFill>
            <w14:solidFill>
              <w14:schemeClr w14:val="tx1"/>
            </w14:solidFill>
          </w14:textFill>
        </w:rPr>
        <w:t xml:space="preserve">）以上每次付款前，乙方均应提供符合甲方要求的同等金额的合法有效发票。否则，甲方有权顺延付款时间，且不承担任何违约及赔偿责任。 </w:t>
      </w:r>
    </w:p>
    <w:p w14:paraId="01C757CB">
      <w:pPr>
        <w:spacing w:line="440" w:lineRule="exact"/>
        <w:ind w:left="50" w:right="50" w:firstLine="993"/>
        <w:rPr>
          <w:iCs/>
          <w:color w:val="000000" w:themeColor="text1"/>
          <w:sz w:val="24"/>
          <w:szCs w:val="24"/>
          <w:highlight w:val="none"/>
          <w14:textFill>
            <w14:solidFill>
              <w14:schemeClr w14:val="tx1"/>
            </w14:solidFill>
          </w14:textFill>
        </w:rPr>
      </w:pPr>
      <w:r>
        <w:rPr>
          <w:rFonts w:hint="eastAsia"/>
          <w:iCs/>
          <w:color w:val="000000" w:themeColor="text1"/>
          <w:sz w:val="24"/>
          <w:szCs w:val="24"/>
          <w:highlight w:val="none"/>
          <w14:textFill>
            <w14:solidFill>
              <w14:schemeClr w14:val="tx1"/>
            </w14:solidFill>
          </w14:textFill>
        </w:rPr>
        <w:t>（2）本项目支付方式支持数字人民币方式。</w:t>
      </w:r>
    </w:p>
    <w:p w14:paraId="5D4C0A01">
      <w:pPr>
        <w:spacing w:line="440" w:lineRule="exact"/>
        <w:ind w:left="50" w:right="50" w:firstLine="993"/>
        <w:rPr>
          <w:iCs/>
          <w:color w:val="000000" w:themeColor="text1"/>
          <w:sz w:val="24"/>
          <w:szCs w:val="24"/>
          <w:highlight w:val="none"/>
          <w14:textFill>
            <w14:solidFill>
              <w14:schemeClr w14:val="tx1"/>
            </w14:solidFill>
          </w14:textFill>
        </w:rPr>
      </w:pPr>
      <w:r>
        <w:rPr>
          <w:rFonts w:hint="eastAsia"/>
          <w:iCs/>
          <w:color w:val="000000" w:themeColor="text1"/>
          <w:sz w:val="24"/>
          <w:szCs w:val="24"/>
          <w:highlight w:val="none"/>
          <w14:textFill>
            <w14:solidFill>
              <w14:schemeClr w14:val="tx1"/>
            </w14:solidFill>
          </w14:textFill>
        </w:rPr>
        <w:t>（3）在签订合同时乙方明确表示无需预付款或者主要要求降低预付款比例的，上述付款方式中预付款要求可不执行，但应当由乙方书面提出并作为采购档案保存。</w:t>
      </w:r>
    </w:p>
    <w:p w14:paraId="776A0092">
      <w:pPr>
        <w:tabs>
          <w:tab w:val="left" w:pos="0"/>
          <w:tab w:val="left" w:pos="6983"/>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第六条 </w:t>
      </w:r>
      <w:r>
        <w:rPr>
          <w:rFonts w:hint="eastAsia" w:ascii="宋体" w:hAnsi="宋体"/>
          <w:b/>
          <w:color w:val="000000" w:themeColor="text1"/>
          <w:sz w:val="24"/>
          <w:szCs w:val="24"/>
          <w:highlight w:val="none"/>
          <w:lang w:bidi="ar"/>
          <w14:textFill>
            <w14:solidFill>
              <w14:schemeClr w14:val="tx1"/>
            </w14:solidFill>
          </w14:textFill>
        </w:rPr>
        <w:t>权利保证</w:t>
      </w:r>
      <w:r>
        <w:rPr>
          <w:rFonts w:ascii="宋体" w:hAnsi="宋体" w:cs="宋体"/>
          <w:b/>
          <w:bCs/>
          <w:color w:val="000000" w:themeColor="text1"/>
          <w:sz w:val="24"/>
          <w:szCs w:val="24"/>
          <w:highlight w:val="none"/>
          <w14:textFill>
            <w14:solidFill>
              <w14:schemeClr w14:val="tx1"/>
            </w14:solidFill>
          </w14:textFill>
        </w:rPr>
        <w:tab/>
      </w:r>
    </w:p>
    <w:p w14:paraId="14F14845">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p>
    <w:p w14:paraId="2916C4D9">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p>
    <w:p w14:paraId="34091CA2">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第七条</w:t>
      </w:r>
      <w:r>
        <w:rPr>
          <w:rFonts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b/>
          <w:color w:val="000000" w:themeColor="text1"/>
          <w:sz w:val="24"/>
          <w:szCs w:val="24"/>
          <w:highlight w:val="none"/>
          <w:lang w:bidi="ar"/>
          <w14:textFill>
            <w14:solidFill>
              <w14:schemeClr w14:val="tx1"/>
            </w14:solidFill>
          </w14:textFill>
        </w:rPr>
        <w:t>质量保证</w:t>
      </w:r>
    </w:p>
    <w:p w14:paraId="6A46B1F9">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1、乙方保证货物完全符合国家相关法律法规和质量标准的规定，不会有任何三无、假冒、伪劣或违禁、走私的物品。</w:t>
      </w:r>
    </w:p>
    <w:p w14:paraId="7A0CA6F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p>
    <w:p w14:paraId="69F1B378">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3、乙方所提供货物的质量技术规格应与采购文件规定及投标或响应文件承诺的内容相一致；若技术规格中无相应说明，则按国家有关部门最新颁布的标准及规范为准。</w:t>
      </w:r>
    </w:p>
    <w:p w14:paraId="2F8F55D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4、货物经甲方验收后，乙方仍应对由于质量、卫生、设计、工艺或材料、运输安全等方面产生的各类缺陷承担全部责任。</w:t>
      </w:r>
    </w:p>
    <w:p w14:paraId="06489039">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第八条 包装要求</w:t>
      </w:r>
    </w:p>
    <w:p w14:paraId="2098CC9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p>
    <w:p w14:paraId="3722E72E">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乙方提供货物的包装应当符合绿色包装原则，相应包装应当符合《快递包装政府采购需求标准（试行）》、《商品包装政府采购需求标准（试行）》，甲方需要时，乙方应当就货物包装符合上述规定出具检测报告。  </w:t>
      </w:r>
    </w:p>
    <w:p w14:paraId="17726690">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第九条 交货</w:t>
      </w:r>
    </w:p>
    <w:p w14:paraId="3A1721B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1、乙方应按照本合同规定的时间和方式向甲方交付货物。</w:t>
      </w:r>
    </w:p>
    <w:p w14:paraId="2C01A8A2">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2、交付时间：合同签订后，按甲方通知确定的期限或者在采购文件约定的期限内，乙方应当完成供货、安装及调试工作并通过甲方或甲方委托的第三方的验收。</w:t>
      </w:r>
    </w:p>
    <w:p w14:paraId="4C57DDA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3、本项目交货方式为现场交货。交付地点为：</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。乙方负责办理货物的运输、装卸和保险，一切费用均由乙方承担。</w:t>
      </w:r>
    </w:p>
    <w:p w14:paraId="185FD411">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第十条 到货验收</w:t>
      </w:r>
    </w:p>
    <w:p w14:paraId="0B7DCFBC">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1、货物全部到达甲方指定地点后，甲乙双方应派员共同对货物当场开箱进行外观验收，如乙方不能按甲方通知按时到达现场又未告知正当理由的，甲方有权单方开箱检验，相应检验结果对乙方有效。</w:t>
      </w:r>
    </w:p>
    <w:p w14:paraId="2F8048B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2、乙方交付的货物应当完全符合本合同所约定的货物、数量和规格要求。乙方提供的货物不符合本合同约定的，甲方有权拒收货物，并由乙方承担相应的违约责任。</w:t>
      </w:r>
    </w:p>
    <w:p w14:paraId="754B764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p>
    <w:p w14:paraId="51487EB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4、开箱验收的内容为核对到货情况：包装符合性；型号、数量及外观；货物所附技术资料、商务资料；货物组件及配置的型号、外观、数量；零配件、随机配套工具及辅助件的型号、外观、数量。</w:t>
      </w:r>
    </w:p>
    <w:p w14:paraId="3E4EDD39">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5、有关货物外观、规格、数量或重量的检验不应视为最终检验。</w:t>
      </w:r>
    </w:p>
    <w:p w14:paraId="55F43C93">
      <w:pPr>
        <w:spacing w:line="400" w:lineRule="exact"/>
        <w:ind w:firstLine="500"/>
        <w:rPr>
          <w:b/>
          <w:i/>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第十一条 伴随服务</w:t>
      </w:r>
    </w:p>
    <w:p w14:paraId="2F74994D">
      <w:pPr>
        <w:spacing w:line="400" w:lineRule="exact"/>
        <w:ind w:firstLine="500"/>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1乙方应提供下列伴随服务：</w:t>
      </w:r>
    </w:p>
    <w:p w14:paraId="69DF798D">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1.1货物的现场安装、施工、调试和／或启动监督；</w:t>
      </w:r>
    </w:p>
    <w:p w14:paraId="0BCAFFCB">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1.2就货物的安装、调试、启动、运行及维护等对甲方人员进行免费培训。</w:t>
      </w:r>
    </w:p>
    <w:p w14:paraId="2B02BF14">
      <w:pPr>
        <w:spacing w:line="400" w:lineRule="exact"/>
        <w:ind w:firstLine="500"/>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2安装施工调试期间甲方责任：</w:t>
      </w:r>
    </w:p>
    <w:p w14:paraId="2F179C2E">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2.1负责提供场地和有关货物的安装位置；</w:t>
      </w:r>
    </w:p>
    <w:p w14:paraId="708E69F4">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2.2提供符合安装施工调试要求的电源和水源等；</w:t>
      </w:r>
    </w:p>
    <w:p w14:paraId="5FD4F467">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2.3负责乙方安装施工调试期间与其他施工安装单位交叉作业时的协调工作；</w:t>
      </w:r>
    </w:p>
    <w:p w14:paraId="3016AD40">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2.4配合乙方做好与安装施工调试有关的辅助性事务；</w:t>
      </w:r>
    </w:p>
    <w:p w14:paraId="48A3DD59">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2.5对乙方的安装施工调试工作进行监督管理。</w:t>
      </w:r>
    </w:p>
    <w:p w14:paraId="30C59C82">
      <w:pPr>
        <w:spacing w:line="400" w:lineRule="exact"/>
        <w:ind w:firstLine="480"/>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3安装施工调试期间乙方责任：</w:t>
      </w:r>
    </w:p>
    <w:p w14:paraId="477A9257">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3.1负责货物运抵指定地点后的搬运及看护保管；</w:t>
      </w:r>
    </w:p>
    <w:p w14:paraId="6DA1C59C">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3.2在安装施工前负责派员前往安装现场进行勘测，确认施工现场条件，与甲方约定具体开工日期；</w:t>
      </w:r>
    </w:p>
    <w:p w14:paraId="06CF32CA">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3.3按照国家规定的相关安装规范和质量标准完成安装施工调试工作；</w:t>
      </w:r>
    </w:p>
    <w:p w14:paraId="2AEEE659">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3.4遵守施工现场的有关规章制度，文明施工、安全施工，接受甲方的监督管理；</w:t>
      </w:r>
    </w:p>
    <w:p w14:paraId="70989498">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3.5配合甲方工作，参加现场施工协调会议；</w:t>
      </w:r>
    </w:p>
    <w:p w14:paraId="13FB0177">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3.6负责现场施工人员的保险和一切安全责任；</w:t>
      </w:r>
    </w:p>
    <w:p w14:paraId="40F0B9E2">
      <w:pPr>
        <w:spacing w:line="40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3.7负责安装质量的自检验收，配合甲方完成验收工作及项目的移交；</w:t>
      </w:r>
    </w:p>
    <w:p w14:paraId="3C5E4207">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3.8按照有关部门要求完成质量评定和安装施工记录；</w:t>
      </w:r>
    </w:p>
    <w:p w14:paraId="253D138E">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3.9负责安装施工调试期间由于乙方过错所造成的一切损失。</w:t>
      </w:r>
    </w:p>
    <w:p w14:paraId="7D1CE322">
      <w:pPr>
        <w:spacing w:line="480" w:lineRule="exact"/>
        <w:ind w:firstLine="500"/>
        <w:rPr>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第十二条 最终验收</w:t>
      </w:r>
    </w:p>
    <w:p w14:paraId="6CF2F17D">
      <w:pPr>
        <w:spacing w:line="400" w:lineRule="exact"/>
        <w:ind w:firstLine="48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1、货物安装调试结束后，乙方应以书面方式及时通知甲方对项目进行最终验收，验收合格的，由甲乙双方签署验收单并加盖单位公章。</w:t>
      </w:r>
    </w:p>
    <w:p w14:paraId="27C67948">
      <w:pPr>
        <w:spacing w:line="400" w:lineRule="exact"/>
        <w:ind w:firstLine="48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货物最终验收包括：货物经过装卸、安装、调试后的外观、数量、型号；货物的材质；货物的性能；货物与投标文件或响应文件的符合度；检测报告齐全性；抽样送检报告；成品检测等以及乙方承诺、甲方要求的其它指标。</w:t>
      </w:r>
    </w:p>
    <w:p w14:paraId="59E6C112">
      <w:pPr>
        <w:spacing w:line="400" w:lineRule="exact"/>
        <w:ind w:firstLine="48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3、甲方有权抽样送交第三方进行检测，相应的检测费用由采购文件约定的一方承担，未约定的协商确定。</w:t>
      </w:r>
    </w:p>
    <w:p w14:paraId="2DC64741">
      <w:pPr>
        <w:spacing w:line="400" w:lineRule="exact"/>
        <w:ind w:firstLine="48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p>
    <w:p w14:paraId="0941D42A">
      <w:pPr>
        <w:spacing w:line="400" w:lineRule="exact"/>
        <w:ind w:firstLine="48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5、验收标准应遵循国家相关标准、行业通行标准、厂方出厂标准、采购文件要求和乙方承诺、甲方要求等。</w:t>
      </w:r>
    </w:p>
    <w:p w14:paraId="01235640">
      <w:pPr>
        <w:spacing w:line="400" w:lineRule="exact"/>
        <w:ind w:firstLine="48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6、甲方有权要求乙方提供采购原材料或货物的采购合同、票据或付款凭证，以核实乙方供货来源的真实性。</w:t>
      </w:r>
    </w:p>
    <w:p w14:paraId="536ECE23">
      <w:pPr>
        <w:spacing w:line="440" w:lineRule="exact"/>
        <w:ind w:firstLine="500"/>
        <w:rPr>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第十三条 售后服务</w:t>
      </w:r>
    </w:p>
    <w:p w14:paraId="10AB7C16">
      <w:pPr>
        <w:spacing w:line="440" w:lineRule="exact"/>
        <w:ind w:firstLine="5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1、乙方应按照国家有关法律法规、行业规定以及采购文件规定、投标文件或响应文件承诺的内容提供售后服务。具体为：</w:t>
      </w:r>
    </w:p>
    <w:p w14:paraId="4B5036EF">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1.1从乙方将货物送至甲方指定地址后应负责免费安装调试（如需）。</w:t>
      </w:r>
    </w:p>
    <w:p w14:paraId="7D82BDE1">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1.2货物免费保修</w:t>
      </w:r>
      <w:r>
        <w:rPr>
          <w:rFonts w:hint="eastAsia" w:ascii="宋体" w:hAnsi="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lang w:bidi="ar"/>
          <w14:textFill>
            <w14:solidFill>
              <w14:schemeClr w14:val="tx1"/>
            </w14:solidFill>
          </w14:textFill>
        </w:rPr>
        <w:t>年，自甲方最终验收合格之日（如无需安装调试的，则自到货验收合格之日起）起计算。</w:t>
      </w:r>
    </w:p>
    <w:p w14:paraId="47BC74C0">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1.3乙方应在接到甲方通知后</w:t>
      </w:r>
      <w:r>
        <w:rPr>
          <w:rFonts w:hint="eastAsia" w:ascii="宋体" w:hAnsi="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lang w:bidi="ar"/>
          <w14:textFill>
            <w14:solidFill>
              <w14:schemeClr w14:val="tx1"/>
            </w14:solidFill>
          </w14:textFill>
        </w:rPr>
        <w:t>小时内维修完毕使货物恢复正常使用或根据要求免费更换新货物，迟延维修超过＿小时的，甲方有权扣减</w:t>
      </w:r>
      <w:r>
        <w:rPr>
          <w:rFonts w:hint="eastAsia" w:ascii="宋体" w:hAnsi="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lang w:bidi="ar"/>
          <w14:textFill>
            <w14:solidFill>
              <w14:schemeClr w14:val="tx1"/>
            </w14:solidFill>
          </w14:textFill>
        </w:rPr>
        <w:t>金额的合同总价，乙方拒绝维修或迟延维修超过</w:t>
      </w:r>
      <w:r>
        <w:rPr>
          <w:rFonts w:hint="eastAsia" w:ascii="宋体" w:hAnsi="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lang w:bidi="ar"/>
          <w14:textFill>
            <w14:solidFill>
              <w14:schemeClr w14:val="tx1"/>
            </w14:solidFill>
          </w14:textFill>
        </w:rPr>
        <w:t>小时的，甲方有权自行或委托第三方维修，因此产生的所有支出（包括但不限于因乙方未能及时维修给甲方造成的损失，甲方自行或委托第三方维修产生的费用等）由乙方承担。</w:t>
      </w:r>
    </w:p>
    <w:p w14:paraId="10C0E725">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报修电话：</w:t>
      </w:r>
      <w:r>
        <w:rPr>
          <w:rFonts w:hint="eastAsia" w:ascii="宋体" w:hAnsi="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lang w:bidi="ar"/>
          <w14:textFill>
            <w14:solidFill>
              <w14:schemeClr w14:val="tx1"/>
            </w14:solidFill>
          </w14:textFill>
        </w:rPr>
        <w:t xml:space="preserve">          </w:t>
      </w:r>
    </w:p>
    <w:p w14:paraId="064310D1">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联系人：</w:t>
      </w:r>
      <w:r>
        <w:rPr>
          <w:rFonts w:hint="eastAsia" w:ascii="宋体" w:hAnsi="宋体" w:cs="宋体"/>
          <w:color w:val="000000" w:themeColor="text1"/>
          <w:sz w:val="24"/>
          <w:szCs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lang w:bidi="ar"/>
          <w14:textFill>
            <w14:solidFill>
              <w14:schemeClr w14:val="tx1"/>
            </w14:solidFill>
          </w14:textFill>
        </w:rPr>
        <w:t xml:space="preserve">          </w:t>
      </w:r>
    </w:p>
    <w:p w14:paraId="0361E0E9">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1.4免费保修期内，乙方免收甲方所有费用，包括但不限于零部件费用、人工费、交通费、住宿费等。</w:t>
      </w:r>
    </w:p>
    <w:p w14:paraId="2E93417F">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1.5若在免费保修期内，乙方拒绝维修或迟延维修的，甲方有权自行或委托第三方维修，因此产生的所有费用由乙方承担。</w:t>
      </w:r>
    </w:p>
    <w:p w14:paraId="1440B73A">
      <w:pPr>
        <w:spacing w:line="400" w:lineRule="exact"/>
        <w:ind w:firstLine="811"/>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1.6免费保修期满后，若甲方要求乙方提供维修的，甲方承担维修所需更换零部件／配件费用，乙方同意按不高于市场价收费。</w:t>
      </w:r>
    </w:p>
    <w:p w14:paraId="3BA1829A">
      <w:pPr>
        <w:spacing w:line="440" w:lineRule="exact"/>
        <w:ind w:firstLine="500"/>
        <w:rPr>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第十四条 违约责任</w:t>
      </w:r>
    </w:p>
    <w:p w14:paraId="11B02B1C">
      <w:pPr>
        <w:spacing w:line="440" w:lineRule="exact"/>
        <w:ind w:firstLine="500"/>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r>
        <w:rPr>
          <w:rFonts w:hint="eastAsia" w:ascii="宋体" w:hAnsi="宋体" w:cs="Courier New"/>
          <w:color w:val="000000" w:themeColor="text1"/>
          <w:sz w:val="24"/>
          <w:szCs w:val="24"/>
          <w:highlight w:val="none"/>
          <w:lang w:bidi="ar"/>
          <w14:textFill>
            <w14:solidFill>
              <w14:schemeClr w14:val="tx1"/>
            </w14:solidFill>
          </w14:textFill>
        </w:rPr>
        <w:t>甲方无正当理由拒收货物的，甲方向乙方偿付拒收货物价款</w:t>
      </w:r>
      <w:r>
        <w:rPr>
          <w:rFonts w:hint="eastAsia" w:ascii="宋体" w:hAnsi="宋体" w:cs="Courier New"/>
          <w:color w:val="000000" w:themeColor="text1"/>
          <w:sz w:val="24"/>
          <w:szCs w:val="24"/>
          <w:highlight w:val="none"/>
          <w:u w:val="single"/>
          <w:lang w:bidi="ar"/>
          <w14:textFill>
            <w14:solidFill>
              <w14:schemeClr w14:val="tx1"/>
            </w14:solidFill>
          </w14:textFill>
        </w:rPr>
        <w:t xml:space="preserve"> 5% </w:t>
      </w:r>
      <w:r>
        <w:rPr>
          <w:rFonts w:hint="eastAsia" w:ascii="宋体" w:hAnsi="宋体" w:cs="Courier New"/>
          <w:color w:val="000000" w:themeColor="text1"/>
          <w:sz w:val="24"/>
          <w:szCs w:val="24"/>
          <w:highlight w:val="none"/>
          <w:lang w:bidi="ar"/>
          <w14:textFill>
            <w14:solidFill>
              <w14:schemeClr w14:val="tx1"/>
            </w14:solidFill>
          </w14:textFill>
        </w:rPr>
        <w:t>的违约金；</w:t>
      </w:r>
      <w:r>
        <w:rPr>
          <w:rFonts w:hint="eastAsia" w:ascii="宋体" w:hAnsi="宋体" w:cs="宋体"/>
          <w:color w:val="000000" w:themeColor="text1"/>
          <w:sz w:val="24"/>
          <w:szCs w:val="24"/>
          <w:highlight w:val="none"/>
          <w:lang w:bidi="ar"/>
          <w14:textFill>
            <w14:solidFill>
              <w14:schemeClr w14:val="tx1"/>
            </w14:solidFill>
          </w14:textFill>
        </w:rPr>
        <w:t>甲方逾期付款的，每逾期一日，乙方有权要求甲方按照逾期付款金额的</w:t>
      </w:r>
      <w:r>
        <w:rPr>
          <w:rFonts w:hint="eastAsia" w:ascii="宋体" w:hAnsi="宋体" w:cs="宋体"/>
          <w:color w:val="000000" w:themeColor="text1"/>
          <w:sz w:val="24"/>
          <w:szCs w:val="24"/>
          <w:highlight w:val="none"/>
          <w:u w:val="single"/>
          <w:lang w:bidi="ar"/>
          <w14:textFill>
            <w14:solidFill>
              <w14:schemeClr w14:val="tx1"/>
            </w14:solidFill>
          </w14:textFill>
        </w:rPr>
        <w:t xml:space="preserve"> 0.5 </w:t>
      </w:r>
      <w:r>
        <w:rPr>
          <w:rFonts w:hint="eastAsia" w:ascii="宋体" w:hAnsi="宋体" w:cs="宋体"/>
          <w:color w:val="000000" w:themeColor="text1"/>
          <w:sz w:val="24"/>
          <w:szCs w:val="24"/>
          <w:highlight w:val="none"/>
          <w:lang w:bidi="ar"/>
          <w14:textFill>
            <w14:solidFill>
              <w14:schemeClr w14:val="tx1"/>
            </w14:solidFill>
          </w14:textFill>
        </w:rPr>
        <w:t>％向乙方支付违约金，但违约金累计不得超过逾期付款金额的</w:t>
      </w:r>
      <w:r>
        <w:rPr>
          <w:rFonts w:hint="eastAsia" w:ascii="宋体" w:hAnsi="宋体" w:cs="宋体"/>
          <w:color w:val="000000" w:themeColor="text1"/>
          <w:sz w:val="24"/>
          <w:szCs w:val="24"/>
          <w:highlight w:val="none"/>
          <w:u w:val="single"/>
          <w:lang w:bidi="ar"/>
          <w14:textFill>
            <w14:solidFill>
              <w14:schemeClr w14:val="tx1"/>
            </w14:solidFill>
          </w14:textFill>
        </w:rPr>
        <w:t xml:space="preserve">  5 </w:t>
      </w:r>
      <w:r>
        <w:rPr>
          <w:rFonts w:hint="eastAsia" w:ascii="宋体" w:hAnsi="宋体" w:cs="宋体"/>
          <w:color w:val="000000" w:themeColor="text1"/>
          <w:sz w:val="24"/>
          <w:szCs w:val="24"/>
          <w:highlight w:val="none"/>
          <w:lang w:bidi="ar"/>
          <w14:textFill>
            <w14:solidFill>
              <w14:schemeClr w14:val="tx1"/>
            </w14:solidFill>
          </w14:textFill>
        </w:rPr>
        <w:t>％。</w:t>
      </w:r>
    </w:p>
    <w:p w14:paraId="701D8C21">
      <w:pPr>
        <w:spacing w:line="440" w:lineRule="exact"/>
        <w:ind w:firstLine="500"/>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2、乙方逾期交付货物的，每逾期一日，甲方有权要求乙方向甲方支付逾期交付货物价款</w:t>
      </w:r>
      <w:r>
        <w:rPr>
          <w:rFonts w:hint="eastAsia" w:ascii="宋体" w:hAnsi="宋体" w:cs="宋体"/>
          <w:color w:val="000000" w:themeColor="text1"/>
          <w:sz w:val="24"/>
          <w:szCs w:val="24"/>
          <w:highlight w:val="none"/>
          <w:u w:val="single"/>
          <w:lang w:bidi="ar"/>
          <w14:textFill>
            <w14:solidFill>
              <w14:schemeClr w14:val="tx1"/>
            </w14:solidFill>
          </w14:textFill>
        </w:rPr>
        <w:t xml:space="preserve">   0.5 </w:t>
      </w:r>
      <w:r>
        <w:rPr>
          <w:rFonts w:hint="eastAsia" w:ascii="宋体" w:hAnsi="宋体" w:cs="宋体"/>
          <w:color w:val="000000" w:themeColor="text1"/>
          <w:sz w:val="24"/>
          <w:szCs w:val="24"/>
          <w:highlight w:val="none"/>
          <w:lang w:bidi="ar"/>
          <w14:textFill>
            <w14:solidFill>
              <w14:schemeClr w14:val="tx1"/>
            </w14:solidFill>
          </w14:textFill>
        </w:rPr>
        <w:t>％的违约金，但违约金累计不得超过逾期交付货物价款的</w:t>
      </w:r>
      <w:r>
        <w:rPr>
          <w:rFonts w:hint="eastAsia" w:ascii="宋体" w:hAnsi="宋体" w:cs="宋体"/>
          <w:color w:val="000000" w:themeColor="text1"/>
          <w:sz w:val="24"/>
          <w:szCs w:val="24"/>
          <w:highlight w:val="none"/>
          <w:u w:val="single"/>
          <w:lang w:bidi="ar"/>
          <w14:textFill>
            <w14:solidFill>
              <w14:schemeClr w14:val="tx1"/>
            </w14:solidFill>
          </w14:textFill>
        </w:rPr>
        <w:t xml:space="preserve"> 5 </w:t>
      </w:r>
      <w:r>
        <w:rPr>
          <w:rFonts w:hint="eastAsia" w:ascii="宋体" w:hAnsi="宋体" w:cs="宋体"/>
          <w:color w:val="000000" w:themeColor="text1"/>
          <w:sz w:val="24"/>
          <w:szCs w:val="24"/>
          <w:highlight w:val="none"/>
          <w:lang w:bidi="ar"/>
          <w14:textFill>
            <w14:solidFill>
              <w14:schemeClr w14:val="tx1"/>
            </w14:solidFill>
          </w14:textFill>
        </w:rPr>
        <w:t>％；一旦违约金总额累计达到逾期交付货物价款的</w:t>
      </w:r>
      <w:r>
        <w:rPr>
          <w:rFonts w:hint="eastAsia" w:ascii="宋体" w:hAnsi="宋体" w:cs="宋体"/>
          <w:color w:val="000000" w:themeColor="text1"/>
          <w:sz w:val="24"/>
          <w:szCs w:val="24"/>
          <w:highlight w:val="none"/>
          <w:u w:val="single"/>
          <w:lang w:bidi="ar"/>
          <w14:textFill>
            <w14:solidFill>
              <w14:schemeClr w14:val="tx1"/>
            </w14:solidFill>
          </w14:textFill>
        </w:rPr>
        <w:t xml:space="preserve"> 5 </w:t>
      </w:r>
      <w:r>
        <w:rPr>
          <w:rFonts w:hint="eastAsia" w:ascii="宋体" w:hAnsi="宋体" w:cs="宋体"/>
          <w:color w:val="000000" w:themeColor="text1"/>
          <w:sz w:val="24"/>
          <w:szCs w:val="24"/>
          <w:highlight w:val="none"/>
          <w:lang w:bidi="ar"/>
          <w14:textFill>
            <w14:solidFill>
              <w14:schemeClr w14:val="tx1"/>
            </w14:solidFill>
          </w14:textFill>
        </w:rPr>
        <w:t>％，甲方有权解除合同。但违约金不足补偿甲方实际损失或损害的，甲方有权要求乙方赔偿甲方的实际损失或损害。</w:t>
      </w:r>
    </w:p>
    <w:p w14:paraId="188C0115">
      <w:pPr>
        <w:spacing w:line="420" w:lineRule="exact"/>
        <w:ind w:firstLine="500"/>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3、若乙方未经甲方书面同意不能按照本合同约定交货逾期超过</w:t>
      </w:r>
      <w:r>
        <w:rPr>
          <w:rFonts w:hint="eastAsia" w:ascii="宋体" w:hAnsi="宋体" w:cs="宋体"/>
          <w:color w:val="000000" w:themeColor="text1"/>
          <w:sz w:val="24"/>
          <w:szCs w:val="24"/>
          <w:highlight w:val="none"/>
          <w:u w:val="single"/>
          <w:lang w:bidi="ar"/>
          <w14:textFill>
            <w14:solidFill>
              <w14:schemeClr w14:val="tx1"/>
            </w14:solidFill>
          </w14:textFill>
        </w:rPr>
        <w:t xml:space="preserve">  15 </w:t>
      </w:r>
      <w:r>
        <w:rPr>
          <w:rFonts w:hint="eastAsia" w:ascii="宋体" w:hAnsi="宋体" w:cs="宋体"/>
          <w:color w:val="000000" w:themeColor="text1"/>
          <w:sz w:val="24"/>
          <w:szCs w:val="24"/>
          <w:highlight w:val="none"/>
          <w:lang w:bidi="ar"/>
          <w14:textFill>
            <w14:solidFill>
              <w14:schemeClr w14:val="tx1"/>
            </w14:solidFill>
          </w14:textFill>
        </w:rPr>
        <w:t>日，将视为严重违约，甲方有权单方面解除本合同而不承担任何责任，本合同自甲方书面通知乙方解除合同之日起自动终止，同时甲方有权要求乙方在甲方书面通知之日起</w:t>
      </w:r>
      <w:r>
        <w:rPr>
          <w:rFonts w:hint="eastAsia" w:ascii="宋体" w:hAnsi="宋体" w:cs="宋体"/>
          <w:color w:val="000000" w:themeColor="text1"/>
          <w:sz w:val="24"/>
          <w:szCs w:val="24"/>
          <w:highlight w:val="none"/>
          <w:u w:val="single"/>
          <w:lang w:bidi="ar"/>
          <w14:textFill>
            <w14:solidFill>
              <w14:schemeClr w14:val="tx1"/>
            </w14:solidFill>
          </w14:textFill>
        </w:rPr>
        <w:t xml:space="preserve"> 7 </w:t>
      </w:r>
      <w:r>
        <w:rPr>
          <w:rFonts w:hint="eastAsia" w:ascii="宋体" w:hAnsi="宋体" w:cs="宋体"/>
          <w:color w:val="000000" w:themeColor="text1"/>
          <w:sz w:val="24"/>
          <w:szCs w:val="24"/>
          <w:highlight w:val="none"/>
          <w:lang w:bidi="ar"/>
          <w14:textFill>
            <w14:solidFill>
              <w14:schemeClr w14:val="tx1"/>
            </w14:solidFill>
          </w14:textFill>
        </w:rPr>
        <w:t>日内向甲方支付本合同价款总额的</w:t>
      </w:r>
      <w:r>
        <w:rPr>
          <w:rFonts w:hint="eastAsia" w:ascii="宋体" w:hAnsi="宋体" w:cs="宋体"/>
          <w:color w:val="000000" w:themeColor="text1"/>
          <w:sz w:val="24"/>
          <w:szCs w:val="24"/>
          <w:highlight w:val="none"/>
          <w:u w:val="single"/>
          <w:lang w:bidi="ar"/>
          <w14:textFill>
            <w14:solidFill>
              <w14:schemeClr w14:val="tx1"/>
            </w14:solidFill>
          </w14:textFill>
        </w:rPr>
        <w:t xml:space="preserve"> 5 </w:t>
      </w:r>
      <w:r>
        <w:rPr>
          <w:rFonts w:hint="eastAsia" w:ascii="宋体" w:hAnsi="宋体" w:cs="宋体"/>
          <w:color w:val="000000" w:themeColor="text1"/>
          <w:sz w:val="24"/>
          <w:szCs w:val="24"/>
          <w:highlight w:val="none"/>
          <w:lang w:bidi="ar"/>
          <w14:textFill>
            <w14:solidFill>
              <w14:schemeClr w14:val="tx1"/>
            </w14:solidFill>
          </w14:textFill>
        </w:rPr>
        <w:t>％，作为违约金。</w:t>
      </w:r>
    </w:p>
    <w:p w14:paraId="5A00FB8D">
      <w:pPr>
        <w:spacing w:line="440" w:lineRule="exact"/>
        <w:ind w:firstLine="500"/>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宋体" w:hAnsi="宋体" w:cs="宋体"/>
          <w:color w:val="000000" w:themeColor="text1"/>
          <w:sz w:val="24"/>
          <w:szCs w:val="24"/>
          <w:highlight w:val="none"/>
          <w:u w:val="single"/>
          <w:lang w:bidi="ar"/>
          <w14:textFill>
            <w14:solidFill>
              <w14:schemeClr w14:val="tx1"/>
            </w14:solidFill>
          </w14:textFill>
        </w:rPr>
        <w:t xml:space="preserve"> 7 </w:t>
      </w:r>
      <w:r>
        <w:rPr>
          <w:rFonts w:hint="eastAsia" w:ascii="宋体" w:hAnsi="宋体" w:cs="宋体"/>
          <w:color w:val="000000" w:themeColor="text1"/>
          <w:sz w:val="24"/>
          <w:szCs w:val="24"/>
          <w:highlight w:val="none"/>
          <w:lang w:bidi="ar"/>
          <w14:textFill>
            <w14:solidFill>
              <w14:schemeClr w14:val="tx1"/>
            </w14:solidFill>
          </w14:textFill>
        </w:rPr>
        <w:t>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p>
    <w:p w14:paraId="0BA332AD">
      <w:pPr>
        <w:spacing w:line="440" w:lineRule="exact"/>
        <w:ind w:firstLine="811"/>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4.1乙方未能在甲方书面异议中限定的时间内根据甲方的要求进行调换或采取其他甲方同意的补救措施；</w:t>
      </w:r>
    </w:p>
    <w:p w14:paraId="4CBF082B">
      <w:pPr>
        <w:spacing w:line="400" w:lineRule="exact"/>
        <w:ind w:firstLine="765"/>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4.2交付的货物因交付或验收（如适用）以前的原因而产生毁损／灭失／变质／泄漏／数量或重量短缺／质量不良／不安全等物质上的缺陷；</w:t>
      </w:r>
    </w:p>
    <w:p w14:paraId="0D7F2705">
      <w:pPr>
        <w:spacing w:line="400" w:lineRule="exact"/>
        <w:ind w:firstLine="765"/>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4.3交付的货物存在为他人设定担保／交易限制／权属争议／不符合法律的强制性规定等法律上的缺陷；</w:t>
      </w:r>
    </w:p>
    <w:p w14:paraId="1E1A4C7E">
      <w:pPr>
        <w:spacing w:line="400" w:lineRule="exact"/>
        <w:ind w:firstLine="765"/>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4.4交付的货物本身存在缺陷，已经或者可能给任何国家的消费者／使用者／其他第三人造成生命／身体／财产等方面的损害或者被任何国家的法律、法规所限制或禁止的，已经或者可能被中国政府部门等进行查处或者制裁；</w:t>
      </w:r>
    </w:p>
    <w:p w14:paraId="0443D92A">
      <w:pPr>
        <w:spacing w:line="400" w:lineRule="exact"/>
        <w:ind w:firstLine="765"/>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4.5交付的货物已经或者可能侵犯甲方以及其他第三人的专利权／商标权／专有技术／互联网络域名权／商业秘密等知识产权以及其他权利；</w:t>
      </w:r>
    </w:p>
    <w:p w14:paraId="4FEBC67F">
      <w:pPr>
        <w:spacing w:line="400" w:lineRule="exact"/>
        <w:ind w:firstLine="765"/>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4.6乙方未按照甲方的要求及时提供诸如增值税发票之类的财务文件以及其他必要的文件；</w:t>
      </w:r>
    </w:p>
    <w:p w14:paraId="6B280848">
      <w:pPr>
        <w:spacing w:line="400" w:lineRule="exact"/>
        <w:ind w:firstLine="765"/>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4.7出现乙方或者乙方的财产被诉讼保全／被拍卖／被强制执行／被有权机关等查处或者整改／主动或者被动地进行清算或者整顿的情形，以及甲方有充分理由认为乙方履行本合同存在重大困难的情形。</w:t>
      </w:r>
    </w:p>
    <w:p w14:paraId="10975B95">
      <w:pPr>
        <w:spacing w:line="440" w:lineRule="exact"/>
        <w:ind w:firstLine="5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5、乙方出现下列情形之一的，视为乙方出现了丧失履行本合同的能力，甲方有权单方解除合同并由乙方赔偿甲方由此产生的全部损失：</w:t>
      </w:r>
    </w:p>
    <w:p w14:paraId="538759CA">
      <w:pPr>
        <w:spacing w:line="400" w:lineRule="exact"/>
        <w:ind w:firstLine="765"/>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5.1乙方因为涉诉被冻结账户，导致无法履行合同的，或者乙方因为未能履行生效法律文书，被列入失信被执行人名录的；</w:t>
      </w:r>
    </w:p>
    <w:p w14:paraId="312B5FD0">
      <w:pPr>
        <w:spacing w:line="400" w:lineRule="exact"/>
        <w:ind w:firstLine="765"/>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5.2在合同有效期内，乙方的技术、营销人员离职人数达到</w:t>
      </w:r>
      <w:r>
        <w:rPr>
          <w:rFonts w:hint="eastAsia" w:ascii="宋体" w:hAnsi="宋体" w:cs="宋体"/>
          <w:color w:val="000000" w:themeColor="text1"/>
          <w:sz w:val="24"/>
          <w:szCs w:val="24"/>
          <w:highlight w:val="none"/>
          <w:u w:val="single"/>
          <w:lang w:bidi="ar"/>
          <w14:textFill>
            <w14:solidFill>
              <w14:schemeClr w14:val="tx1"/>
            </w14:solidFill>
          </w14:textFill>
        </w:rPr>
        <w:t xml:space="preserve"> 30% </w:t>
      </w:r>
      <w:r>
        <w:rPr>
          <w:rFonts w:hint="eastAsia" w:ascii="宋体" w:hAnsi="宋体" w:cs="宋体"/>
          <w:color w:val="000000" w:themeColor="text1"/>
          <w:sz w:val="24"/>
          <w:szCs w:val="24"/>
          <w:highlight w:val="none"/>
          <w:lang w:bidi="ar"/>
          <w14:textFill>
            <w14:solidFill>
              <w14:schemeClr w14:val="tx1"/>
            </w14:solidFill>
          </w14:textFill>
        </w:rPr>
        <w:t>的，或者投标时确认的专业团队人员离职达到</w:t>
      </w:r>
      <w:r>
        <w:rPr>
          <w:rFonts w:hint="eastAsia" w:ascii="宋体" w:hAnsi="宋体" w:cs="宋体"/>
          <w:color w:val="000000" w:themeColor="text1"/>
          <w:sz w:val="24"/>
          <w:szCs w:val="24"/>
          <w:highlight w:val="none"/>
          <w:u w:val="single"/>
          <w:lang w:bidi="ar"/>
          <w14:textFill>
            <w14:solidFill>
              <w14:schemeClr w14:val="tx1"/>
            </w14:solidFill>
          </w14:textFill>
        </w:rPr>
        <w:t xml:space="preserve"> 50% </w:t>
      </w:r>
      <w:r>
        <w:rPr>
          <w:rFonts w:hint="eastAsia" w:ascii="宋体" w:hAnsi="宋体" w:cs="宋体"/>
          <w:color w:val="000000" w:themeColor="text1"/>
          <w:sz w:val="24"/>
          <w:szCs w:val="24"/>
          <w:highlight w:val="none"/>
          <w:lang w:bidi="ar"/>
          <w14:textFill>
            <w14:solidFill>
              <w14:schemeClr w14:val="tx1"/>
            </w14:solidFill>
          </w14:textFill>
        </w:rPr>
        <w:t>的；</w:t>
      </w:r>
    </w:p>
    <w:p w14:paraId="4DB87638">
      <w:pPr>
        <w:spacing w:line="400" w:lineRule="exact"/>
        <w:ind w:firstLine="765"/>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5.3乙方出现转包情形的；</w:t>
      </w:r>
    </w:p>
    <w:p w14:paraId="02903F4F">
      <w:pPr>
        <w:spacing w:line="400" w:lineRule="exact"/>
        <w:ind w:firstLine="765"/>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5.4乙方不能履行合同义务的其他情况。</w:t>
      </w:r>
    </w:p>
    <w:p w14:paraId="67E4439A">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第十五条 不可抗力</w:t>
      </w:r>
    </w:p>
    <w:p w14:paraId="74520BE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w:t>
      </w:r>
      <w:r>
        <w:rPr>
          <w:rFonts w:hint="eastAsia" w:ascii="宋体" w:hAnsi="宋体" w:cs="宋体"/>
          <w:bCs/>
          <w:color w:val="000000" w:themeColor="text1"/>
          <w:sz w:val="24"/>
          <w:szCs w:val="24"/>
          <w:highlight w:val="none"/>
          <w14:textFill>
            <w14:solidFill>
              <w14:schemeClr w14:val="tx1"/>
            </w14:solidFill>
          </w14:textFill>
        </w:rPr>
        <w:t>、不可抗力，是指不能预见、不能避免并不能克服的客观情况，如战争、动乱、洪水、地震、风暴等。</w:t>
      </w:r>
    </w:p>
    <w:p w14:paraId="5115438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2</w:t>
      </w:r>
      <w:r>
        <w:rPr>
          <w:rFonts w:hint="eastAsia" w:ascii="宋体" w:hAnsi="宋体" w:cs="宋体"/>
          <w:bCs/>
          <w:color w:val="000000" w:themeColor="text1"/>
          <w:sz w:val="24"/>
          <w:szCs w:val="24"/>
          <w:highlight w:val="none"/>
          <w14:textFill>
            <w14:solidFill>
              <w14:schemeClr w14:val="tx1"/>
            </w14:solidFill>
          </w14:textFill>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ACEE108">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3</w:t>
      </w:r>
      <w:r>
        <w:rPr>
          <w:rFonts w:hint="eastAsia" w:ascii="宋体" w:hAnsi="宋体" w:cs="宋体"/>
          <w:bCs/>
          <w:color w:val="000000" w:themeColor="text1"/>
          <w:sz w:val="24"/>
          <w:szCs w:val="24"/>
          <w:highlight w:val="none"/>
          <w14:textFill>
            <w14:solidFill>
              <w14:schemeClr w14:val="tx1"/>
            </w14:solidFill>
          </w14:textFill>
        </w:rPr>
        <w:t>、发生不可抗力事件，任何一方均不对因不可抗力无法履行或迟延履行本合同义务而使另一方蒙受的任何损失承担责任，法律另有规定的除外。</w:t>
      </w:r>
    </w:p>
    <w:p w14:paraId="0BE52E4D">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4</w:t>
      </w:r>
      <w:r>
        <w:rPr>
          <w:rFonts w:hint="eastAsia" w:ascii="宋体" w:hAnsi="宋体" w:cs="宋体"/>
          <w:bCs/>
          <w:color w:val="000000" w:themeColor="text1"/>
          <w:sz w:val="24"/>
          <w:szCs w:val="24"/>
          <w:highlight w:val="none"/>
          <w14:textFill>
            <w14:solidFill>
              <w14:schemeClr w14:val="tx1"/>
            </w14:solidFill>
          </w14:textFill>
        </w:rPr>
        <w:t>、合同各方应根据不可抗力对本合同履行的影响程度，协商确定是否终止或是继续履行本合同。</w:t>
      </w:r>
    </w:p>
    <w:p w14:paraId="55EFBCAE">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第十六条 合同的变更、中止</w:t>
      </w:r>
    </w:p>
    <w:p w14:paraId="5A6C9AA6">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本合同一经签订，合同双方不得擅自变更或中止合同，除非合同的继续履行将损害国家利益和社会公共利益</w:t>
      </w:r>
      <w:r>
        <w:rPr>
          <w:rFonts w:hint="eastAsia" w:ascii="宋体" w:hAnsi="宋体" w:cs="宋体"/>
          <w:bCs/>
          <w:color w:val="000000" w:themeColor="text1"/>
          <w:sz w:val="24"/>
          <w:szCs w:val="24"/>
          <w:highlight w:val="none"/>
          <w14:textFill>
            <w14:solidFill>
              <w14:schemeClr w14:val="tx1"/>
            </w14:solidFill>
          </w14:textFill>
        </w:rPr>
        <w:t>。</w:t>
      </w:r>
    </w:p>
    <w:p w14:paraId="12266BBE">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第十七条 合同的终止</w:t>
      </w:r>
    </w:p>
    <w:p w14:paraId="679E59E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1、本合同因下列原因而终止：</w:t>
      </w:r>
    </w:p>
    <w:p w14:paraId="25F3FC86">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1.1 本合同正常履行完毕；</w:t>
      </w:r>
    </w:p>
    <w:p w14:paraId="46073630">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1.2 因不可抗力导致本合同无法履行或履行不必要；</w:t>
      </w:r>
    </w:p>
    <w:p w14:paraId="730392AF">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1.3 任何一方行使解除权解除本合同；</w:t>
      </w:r>
    </w:p>
    <w:p w14:paraId="73018040">
      <w:pPr>
        <w:tabs>
          <w:tab w:val="left" w:pos="0"/>
        </w:tabs>
        <w:spacing w:line="440" w:lineRule="exact"/>
        <w:ind w:right="-27" w:firstLine="78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1.4 合同的继续履行将损害国家利益和社会公共利益且不宜变更、中止的。</w:t>
      </w:r>
    </w:p>
    <w:p w14:paraId="24A9C4D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2、除上述情形外，甲乙双方不得擅自终止合同。</w:t>
      </w:r>
    </w:p>
    <w:p w14:paraId="4BA0ADC1">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第十八条 合同的转让</w:t>
      </w:r>
    </w:p>
    <w:p w14:paraId="54792B9A">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乙方不得将其合同项下的权利义务部分或全部转让给第三方。</w:t>
      </w:r>
    </w:p>
    <w:p w14:paraId="19C08133">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第十九条 履约保证金</w:t>
      </w:r>
    </w:p>
    <w:p w14:paraId="63C02A3A">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本项目不收取履约保证金。</w:t>
      </w:r>
    </w:p>
    <w:p w14:paraId="1B66DB8F">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第二十条 争议解决方式</w:t>
      </w:r>
    </w:p>
    <w:p w14:paraId="26F84BE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1、在执行本合同过程中所发生的或与本合同有关的一切争端，甲乙双方友好协商解决。如协商不能解决，则全部争端由甲方所在地人民法院管辖。</w:t>
      </w:r>
    </w:p>
    <w:p w14:paraId="0A7831C2">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2、如因乙方违约，导致甲方起诉的，甲方由此产生的诉讼费用、律师费用、差旅费用等，均由乙方承担。</w:t>
      </w:r>
    </w:p>
    <w:p w14:paraId="52211DE7">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第二十一条 通知与送达</w:t>
      </w:r>
    </w:p>
    <w:p w14:paraId="21EBCB8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1、甲乙双方因履行本合同需要向对方发送通知、文件、资料的，均以下列联系信息确定内容进行：</w:t>
      </w:r>
    </w:p>
    <w:p w14:paraId="06741AE0">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1.1</w:t>
      </w:r>
      <w:r>
        <w:rPr>
          <w:rFonts w:hint="eastAsia" w:ascii="宋体" w:hAnsi="宋体" w:cs="宋体"/>
          <w:bCs/>
          <w:color w:val="000000" w:themeColor="text1"/>
          <w:sz w:val="24"/>
          <w:szCs w:val="24"/>
          <w:highlight w:val="none"/>
          <w14:textFill>
            <w14:solidFill>
              <w14:schemeClr w14:val="tx1"/>
            </w14:solidFill>
          </w14:textFill>
        </w:rPr>
        <w:t>甲方联系信息：</w:t>
      </w:r>
    </w:p>
    <w:p w14:paraId="6700E519">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78557BB0">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1811C9B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7E495E9C">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1.2</w:t>
      </w:r>
      <w:r>
        <w:rPr>
          <w:rFonts w:hint="eastAsia" w:ascii="宋体" w:hAnsi="宋体" w:cs="宋体"/>
          <w:bCs/>
          <w:color w:val="000000" w:themeColor="text1"/>
          <w:sz w:val="24"/>
          <w:szCs w:val="24"/>
          <w:highlight w:val="none"/>
          <w14:textFill>
            <w14:solidFill>
              <w14:schemeClr w14:val="tx1"/>
            </w14:solidFill>
          </w14:textFill>
        </w:rPr>
        <w:t>乙方联系信息：</w:t>
      </w:r>
    </w:p>
    <w:p w14:paraId="71AB4EF1">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指定收件人：</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49E98687">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送达地址：</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3465596F">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指定电子收件方式：</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1D2672BB">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2、双方确认前述联系信息作为解决争议时接受人民法院诉讼文书的送达地址和联系方式。</w:t>
      </w:r>
    </w:p>
    <w:p w14:paraId="542EC8E4">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3、任何一方改变前述联系信息的，应在发生变更后的3天内告知对方并做好通知到达对方前可能存在的邮件的接收。如未通知的，视为没有变更。</w:t>
      </w:r>
    </w:p>
    <w:p w14:paraId="4F4603B9">
      <w:pPr>
        <w:tabs>
          <w:tab w:val="left" w:pos="0"/>
        </w:tabs>
        <w:spacing w:line="440" w:lineRule="exact"/>
        <w:ind w:right="-27"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第二十二条 合同生效及其他</w:t>
      </w:r>
    </w:p>
    <w:p w14:paraId="1C11F347">
      <w:pPr>
        <w:tabs>
          <w:tab w:val="left" w:pos="0"/>
        </w:tabs>
        <w:spacing w:line="440" w:lineRule="exact"/>
        <w:ind w:right="-27" w:firstLine="480"/>
        <w:rPr>
          <w:rFonts w:ascii="Times New Roman" w:hAnsi="Times New Roman"/>
          <w:b/>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合同在双方加盖公章或</w:t>
      </w:r>
      <w:r>
        <w:rPr>
          <w:rFonts w:hint="eastAsia" w:ascii="宋体" w:hAnsi="宋体"/>
          <w:b/>
          <w:color w:val="000000" w:themeColor="text1"/>
          <w:sz w:val="24"/>
          <w:szCs w:val="24"/>
          <w:highlight w:val="none"/>
          <w14:textFill>
            <w14:solidFill>
              <w14:schemeClr w14:val="tx1"/>
            </w14:solidFill>
          </w14:textFill>
        </w:rPr>
        <w:t>双方法定代表人、授权代表签字后生效</w:t>
      </w:r>
    </w:p>
    <w:p w14:paraId="516A3386">
      <w:pPr>
        <w:tabs>
          <w:tab w:val="left" w:pos="0"/>
        </w:tabs>
        <w:spacing w:line="440" w:lineRule="exact"/>
        <w:ind w:right="-27" w:firstLine="480"/>
        <w:rPr>
          <w:rFonts w:ascii="Times New Roman" w:hAnsi="Times New Roman"/>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本合同一式</w:t>
      </w:r>
      <w:r>
        <w:rPr>
          <w:rFonts w:hint="eastAsia" w:ascii="宋体" w:hAnsi="宋体"/>
          <w:color w:val="000000" w:themeColor="text1"/>
          <w:sz w:val="24"/>
          <w:szCs w:val="24"/>
          <w:highlight w:val="none"/>
          <w:u w:val="single"/>
          <w14:textFill>
            <w14:solidFill>
              <w14:schemeClr w14:val="tx1"/>
            </w14:solidFill>
          </w14:textFill>
        </w:rPr>
        <w:t>四</w:t>
      </w:r>
      <w:r>
        <w:rPr>
          <w:rFonts w:hint="eastAsia" w:ascii="宋体" w:hAnsi="宋体"/>
          <w:color w:val="000000" w:themeColor="text1"/>
          <w:sz w:val="24"/>
          <w:szCs w:val="24"/>
          <w:highlight w:val="none"/>
          <w14:textFill>
            <w14:solidFill>
              <w14:schemeClr w14:val="tx1"/>
            </w14:solidFill>
          </w14:textFill>
        </w:rPr>
        <w:t>份，以简体中文书写，甲方、乙方各执二份。</w:t>
      </w:r>
    </w:p>
    <w:p w14:paraId="1192CCBF">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3、本合同应按照中华人民共和国的现行法律进行解释。</w:t>
      </w:r>
    </w:p>
    <w:p w14:paraId="6F749C4F">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p>
    <w:p w14:paraId="19CDFF7E">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甲方（公章）：                       乙方（公章）：</w:t>
      </w:r>
    </w:p>
    <w:p w14:paraId="2D6661A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法定（授权）代表人（签字）：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法定（授权）代表人（签字）：</w:t>
      </w:r>
    </w:p>
    <w:p w14:paraId="56A58FD3">
      <w:pPr>
        <w:tabs>
          <w:tab w:val="left" w:pos="0"/>
        </w:tabs>
        <w:spacing w:line="440" w:lineRule="exact"/>
        <w:ind w:right="-27" w:firstLine="48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    年   月   日                        年   月   日</w:t>
      </w:r>
    </w:p>
    <w:p w14:paraId="4199B8B0">
      <w:pPr>
        <w:keepNext/>
        <w:ind w:firstLine="880"/>
        <w:jc w:val="center"/>
        <w:outlineLvl w:val="0"/>
        <w:rPr>
          <w:rFonts w:ascii="宋体" w:hAnsi="宋体" w:cs="Courier New"/>
          <w:color w:val="000000" w:themeColor="text1"/>
          <w:sz w:val="24"/>
          <w:szCs w:val="24"/>
          <w:highlight w:val="none"/>
          <w14:textFill>
            <w14:solidFill>
              <w14:schemeClr w14:val="tx1"/>
            </w14:solidFill>
          </w14:textFill>
        </w:rPr>
      </w:pPr>
      <w:r>
        <w:rPr>
          <w:rFonts w:ascii="黑体" w:hAnsi="Courier New" w:eastAsia="黑体" w:cs="Courier New"/>
          <w:bCs/>
          <w:color w:val="000000" w:themeColor="text1"/>
          <w:sz w:val="44"/>
          <w:szCs w:val="21"/>
          <w:highlight w:val="none"/>
          <w14:textFill>
            <w14:solidFill>
              <w14:schemeClr w14:val="tx1"/>
            </w14:solidFill>
          </w14:textFill>
        </w:rPr>
        <w:br w:type="page" w:clear="all"/>
      </w:r>
      <w:bookmarkStart w:id="244" w:name="_Toc29668"/>
      <w:bookmarkStart w:id="245" w:name="_Toc14994"/>
      <w:bookmarkStart w:id="246" w:name="_Toc2469"/>
      <w:bookmarkStart w:id="247" w:name="_Toc2476"/>
      <w:r>
        <w:rPr>
          <w:rFonts w:hint="eastAsia" w:ascii="黑体" w:hAnsi="Courier New" w:eastAsia="黑体" w:cs="Courier New"/>
          <w:bCs/>
          <w:color w:val="000000" w:themeColor="text1"/>
          <w:sz w:val="44"/>
          <w:szCs w:val="21"/>
          <w:highlight w:val="none"/>
          <w14:textFill>
            <w14:solidFill>
              <w14:schemeClr w14:val="tx1"/>
            </w14:solidFill>
          </w14:textFill>
        </w:rPr>
        <w:t>第</w:t>
      </w:r>
      <w:bookmarkEnd w:id="237"/>
      <w:r>
        <w:rPr>
          <w:rFonts w:hint="eastAsia" w:ascii="黑体" w:hAnsi="Courier New" w:eastAsia="黑体" w:cs="Courier New"/>
          <w:bCs/>
          <w:color w:val="000000" w:themeColor="text1"/>
          <w:sz w:val="44"/>
          <w:szCs w:val="21"/>
          <w:highlight w:val="none"/>
          <w14:textFill>
            <w14:solidFill>
              <w14:schemeClr w14:val="tx1"/>
            </w14:solidFill>
          </w14:textFill>
        </w:rPr>
        <w:t xml:space="preserve">四章 </w:t>
      </w:r>
      <w:r>
        <w:rPr>
          <w:rFonts w:ascii="黑体" w:hAnsi="Courier New" w:eastAsia="黑体" w:cs="Courier New"/>
          <w:bCs/>
          <w:color w:val="000000" w:themeColor="text1"/>
          <w:sz w:val="44"/>
          <w:szCs w:val="21"/>
          <w:highlight w:val="none"/>
          <w14:textFill>
            <w14:solidFill>
              <w14:schemeClr w14:val="tx1"/>
            </w14:solidFill>
          </w14:textFill>
        </w:rPr>
        <w:t xml:space="preserve"> </w:t>
      </w:r>
      <w:r>
        <w:rPr>
          <w:rFonts w:hint="eastAsia" w:ascii="黑体" w:hAnsi="Courier New" w:eastAsia="黑体" w:cs="Courier New"/>
          <w:bCs/>
          <w:color w:val="000000" w:themeColor="text1"/>
          <w:sz w:val="44"/>
          <w:szCs w:val="21"/>
          <w:highlight w:val="none"/>
          <w14:textFill>
            <w14:solidFill>
              <w14:schemeClr w14:val="tx1"/>
            </w14:solidFill>
          </w14:textFill>
        </w:rPr>
        <w:t>采购需求</w:t>
      </w:r>
      <w:bookmarkEnd w:id="238"/>
      <w:bookmarkEnd w:id="239"/>
      <w:bookmarkEnd w:id="240"/>
      <w:bookmarkEnd w:id="244"/>
      <w:bookmarkEnd w:id="245"/>
      <w:bookmarkEnd w:id="246"/>
      <w:bookmarkEnd w:id="247"/>
    </w:p>
    <w:p w14:paraId="7D16E73D">
      <w:pPr>
        <w:spacing w:line="440" w:lineRule="exact"/>
        <w:rPr>
          <w:b/>
          <w:bCs/>
          <w:color w:val="000000" w:themeColor="text1"/>
          <w:sz w:val="28"/>
          <w:szCs w:val="28"/>
          <w:highlight w:val="none"/>
          <w14:textFill>
            <w14:solidFill>
              <w14:schemeClr w14:val="tx1"/>
            </w14:solidFill>
          </w14:textFill>
        </w:rPr>
      </w:pPr>
      <w:bookmarkStart w:id="248" w:name="_Toc49090575"/>
      <w:bookmarkStart w:id="249" w:name="_Toc120614281"/>
      <w:bookmarkStart w:id="250" w:name="_Toc26554093"/>
      <w:r>
        <w:rPr>
          <w:rFonts w:hint="eastAsia"/>
          <w:b/>
          <w:bCs/>
          <w:color w:val="000000" w:themeColor="text1"/>
          <w:sz w:val="28"/>
          <w:szCs w:val="28"/>
          <w:highlight w:val="none"/>
          <w14:textFill>
            <w14:solidFill>
              <w14:schemeClr w14:val="tx1"/>
            </w14:solidFill>
          </w14:textFill>
        </w:rPr>
        <w:t>一、项目说明</w:t>
      </w:r>
    </w:p>
    <w:p w14:paraId="358B0E05">
      <w:pPr>
        <w:spacing w:line="440" w:lineRule="exact"/>
        <w:ind w:left="50" w:right="50" w:firstLine="480"/>
        <w:rPr>
          <w:rFonts w:ascii="Microsoft YaHei UI" w:hAnsi="Microsoft YaHei UI" w:eastAsia="Microsoft YaHei UI" w:cs="Microsoft YaHei UI"/>
          <w:color w:val="000000" w:themeColor="text1"/>
          <w:sz w:val="16"/>
          <w:szCs w:val="16"/>
          <w:highlight w:val="none"/>
          <w:shd w:val="clear" w:color="auto" w:fill="95EC69"/>
          <w14:textFill>
            <w14:solidFill>
              <w14:schemeClr w14:val="tx1"/>
            </w14:solidFill>
          </w14:textFill>
        </w:rPr>
      </w:pPr>
      <w:r>
        <w:rPr>
          <w:rFonts w:hint="eastAsia"/>
          <w:color w:val="000000" w:themeColor="text1"/>
          <w:sz w:val="24"/>
          <w:szCs w:val="24"/>
          <w:highlight w:val="none"/>
          <w14:textFill>
            <w14:solidFill>
              <w14:schemeClr w14:val="tx1"/>
            </w14:solidFill>
          </w14:textFill>
        </w:rPr>
        <w:t>1、采购内容：本项目采购水位雨量站、流量站、闸门开度监测站、视频监测站、鸟类生物多样性监测站、无人机及机场、水质监测站，实现对昆承湖流域全部范围巡查和动态监测，提升对流域的整体监管能力，特别是通过无人机监测，弥补地面监测和固定站点监测的不足，为“天空地”一体化智能感知网的构建提供重要支撑。</w:t>
      </w:r>
    </w:p>
    <w:p w14:paraId="6244F9A7">
      <w:pPr>
        <w:spacing w:line="440" w:lineRule="exact"/>
        <w:ind w:left="50" w:right="50" w:firstLine="480"/>
        <w:rPr>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14:textFill>
            <w14:solidFill>
              <w14:schemeClr w14:val="tx1"/>
            </w14:solidFill>
          </w14:textFill>
        </w:rPr>
        <w:t>2</w:t>
      </w:r>
      <w:r>
        <w:rPr>
          <w:rFonts w:hint="eastAsia"/>
          <w:color w:val="000000" w:themeColor="text1"/>
          <w:sz w:val="24"/>
          <w:szCs w:val="24"/>
          <w:highlight w:val="none"/>
          <w:lang w:val="zh-CN"/>
          <w14:textFill>
            <w14:solidFill>
              <w14:schemeClr w14:val="tx1"/>
            </w14:solidFill>
          </w14:textFill>
        </w:rPr>
        <w:t>、本项目不接受进口产品投标（进口产品是指“通过中国海关报关验放进入中国境内且产自关境外的产品”）。</w:t>
      </w:r>
    </w:p>
    <w:p w14:paraId="71F36652">
      <w:pPr>
        <w:spacing w:line="440" w:lineRule="exact"/>
        <w:ind w:left="50" w:right="50"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val="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如需现场进行踏勘的，相关费用由</w:t>
      </w:r>
      <w:r>
        <w:rPr>
          <w:rFonts w:hint="eastAsia"/>
          <w:color w:val="000000" w:themeColor="text1"/>
          <w:sz w:val="24"/>
          <w:szCs w:val="24"/>
          <w:highlight w:val="none"/>
          <w:lang w:val="zh-CN"/>
          <w14:textFill>
            <w14:solidFill>
              <w14:schemeClr w14:val="tx1"/>
            </w14:solidFill>
          </w14:textFill>
        </w:rPr>
        <w:t>投标人</w:t>
      </w:r>
      <w:r>
        <w:rPr>
          <w:rFonts w:hint="eastAsia"/>
          <w:color w:val="000000" w:themeColor="text1"/>
          <w:sz w:val="24"/>
          <w:szCs w:val="24"/>
          <w:highlight w:val="none"/>
          <w14:textFill>
            <w14:solidFill>
              <w14:schemeClr w14:val="tx1"/>
            </w14:solidFill>
          </w14:textFill>
        </w:rPr>
        <w:t>自行承担。</w:t>
      </w:r>
      <w:r>
        <w:rPr>
          <w:rFonts w:hint="eastAsia"/>
          <w:color w:val="000000" w:themeColor="text1"/>
          <w:sz w:val="24"/>
          <w:szCs w:val="24"/>
          <w:highlight w:val="none"/>
          <w:lang w:val="zh-CN"/>
          <w14:textFill>
            <w14:solidFill>
              <w14:schemeClr w14:val="tx1"/>
            </w14:solidFill>
          </w14:textFill>
        </w:rPr>
        <w:t>投标人在投标时应充分考虑现场实际情况，采购人不负担因投标人对项目现场情况考虑不周而产生的其他任何费用。</w:t>
      </w:r>
    </w:p>
    <w:p w14:paraId="596F2356">
      <w:pPr>
        <w:tabs>
          <w:tab w:val="left" w:pos="0"/>
        </w:tabs>
        <w:spacing w:line="440" w:lineRule="exact"/>
        <w:ind w:right="-27" w:firstLine="480"/>
        <w:rPr>
          <w:rFonts w:ascii="宋体" w:hAnsi="宋体"/>
          <w:i/>
          <w:iCs/>
          <w:color w:val="000000" w:themeColor="text1"/>
          <w:sz w:val="24"/>
          <w:szCs w:val="24"/>
          <w:highlight w:val="none"/>
          <w:u w:val="single"/>
          <w14:textFill>
            <w14:solidFill>
              <w14:schemeClr w14:val="tx1"/>
            </w14:solidFill>
          </w14:textFill>
        </w:rPr>
      </w:pPr>
      <w:r>
        <w:rPr>
          <w:rFonts w:hint="eastAsia" w:ascii="宋体" w:hAnsi="宋体"/>
          <w:i/>
          <w:iCs/>
          <w:color w:val="000000" w:themeColor="text1"/>
          <w:sz w:val="24"/>
          <w:szCs w:val="24"/>
          <w:highlight w:val="none"/>
          <w:u w:val="single"/>
          <w14:textFill>
            <w14:solidFill>
              <w14:schemeClr w14:val="tx1"/>
            </w14:solidFill>
          </w14:textFill>
        </w:rPr>
        <w:t>4、工期：签订合同后，在接到书面进场通知</w:t>
      </w:r>
      <w:r>
        <w:rPr>
          <w:rFonts w:hint="eastAsia" w:ascii="宋体" w:hAnsi="宋体" w:cs="宋体"/>
          <w:i/>
          <w:iCs/>
          <w:color w:val="000000" w:themeColor="text1"/>
          <w:sz w:val="24"/>
          <w:szCs w:val="24"/>
          <w:highlight w:val="none"/>
          <w:u w:val="single"/>
          <w14:textFill>
            <w14:solidFill>
              <w14:schemeClr w14:val="tx1"/>
            </w14:solidFill>
          </w14:textFill>
        </w:rPr>
        <w:t>40日历天内</w:t>
      </w:r>
      <w:r>
        <w:rPr>
          <w:rFonts w:hint="eastAsia" w:ascii="宋体" w:hAnsi="宋体"/>
          <w:i/>
          <w:iCs/>
          <w:color w:val="000000" w:themeColor="text1"/>
          <w:sz w:val="24"/>
          <w:szCs w:val="24"/>
          <w:highlight w:val="none"/>
          <w:u w:val="single"/>
          <w14:textFill>
            <w14:solidFill>
              <w14:schemeClr w14:val="tx1"/>
            </w14:solidFill>
          </w14:textFill>
        </w:rPr>
        <w:t>（包括节假日在内）向采购人交付合同约定的货物，并完成安装、调试、验收合格，交付采购人使用。</w:t>
      </w:r>
    </w:p>
    <w:p w14:paraId="0D3B0245">
      <w:pPr>
        <w:spacing w:line="440" w:lineRule="exact"/>
        <w:ind w:left="50" w:right="50"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5、投标人负责的事项：</w:t>
      </w:r>
    </w:p>
    <w:p w14:paraId="4DDD88D2">
      <w:pPr>
        <w:spacing w:line="440" w:lineRule="exact"/>
        <w:ind w:left="51" w:right="51" w:firstLine="78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w:t>
      </w:r>
      <w:r>
        <w:rPr>
          <w:color w:val="000000" w:themeColor="text1"/>
          <w:sz w:val="24"/>
          <w:szCs w:val="24"/>
          <w:highlight w:val="none"/>
          <w14:textFill>
            <w14:solidFill>
              <w14:schemeClr w14:val="tx1"/>
            </w14:solidFill>
          </w14:textFill>
        </w:rPr>
        <w:t xml:space="preserve">.1 </w:t>
      </w:r>
      <w:r>
        <w:rPr>
          <w:rFonts w:hint="eastAsia"/>
          <w:color w:val="000000" w:themeColor="text1"/>
          <w:sz w:val="24"/>
          <w:szCs w:val="24"/>
          <w:highlight w:val="none"/>
          <w14:textFill>
            <w14:solidFill>
              <w14:schemeClr w14:val="tx1"/>
            </w14:solidFill>
          </w14:textFill>
        </w:rPr>
        <w:t>投标人应负责设备的供货、运输、施工、安装、调试、系统集成以及质保。</w:t>
      </w:r>
    </w:p>
    <w:p w14:paraId="015F087B">
      <w:pPr>
        <w:spacing w:line="440" w:lineRule="exact"/>
        <w:ind w:left="51" w:right="51" w:firstLine="78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w:t>
      </w: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投标人应负责系统的开通以及试运行。</w:t>
      </w:r>
    </w:p>
    <w:p w14:paraId="1F7AB90E">
      <w:pPr>
        <w:spacing w:line="440" w:lineRule="exact"/>
        <w:ind w:left="51" w:right="51" w:firstLine="78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w:t>
      </w: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14:textFill>
            <w14:solidFill>
              <w14:schemeClr w14:val="tx1"/>
            </w14:solidFill>
          </w14:textFill>
        </w:rPr>
        <w:t>项目完成时，投标人应免费提供完整的技术资料（包括系统软件源代码）、维护维修手册和配件清单，并负责系统相关操作人员的培训。</w:t>
      </w:r>
    </w:p>
    <w:p w14:paraId="553FD9C9">
      <w:pPr>
        <w:spacing w:line="440" w:lineRule="exact"/>
        <w:ind w:left="50" w:right="50"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6、采购人负责的事项说明：</w:t>
      </w:r>
    </w:p>
    <w:p w14:paraId="73ED37B3">
      <w:pPr>
        <w:spacing w:line="440" w:lineRule="exact"/>
        <w:ind w:left="51" w:right="51" w:firstLine="78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w:t>
      </w: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采购人提供建设运行所需的接电资源（设备供电的接入由供应商负责）。</w:t>
      </w:r>
    </w:p>
    <w:p w14:paraId="74EB26DA">
      <w:pPr>
        <w:spacing w:line="440" w:lineRule="exact"/>
        <w:ind w:left="51" w:right="51" w:firstLine="78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w:t>
      </w: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采购人负责与建设过程中的外部协调工作。</w:t>
      </w:r>
    </w:p>
    <w:p w14:paraId="7698B2AE">
      <w:pPr>
        <w:spacing w:line="440" w:lineRule="exact"/>
        <w:ind w:left="51" w:right="51" w:firstLine="782"/>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w:t>
      </w: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14:textFill>
            <w14:solidFill>
              <w14:schemeClr w14:val="tx1"/>
            </w14:solidFill>
          </w14:textFill>
        </w:rPr>
        <w:t>采购人负责对施工过程中的施工质量进行监督检查。</w:t>
      </w:r>
    </w:p>
    <w:p w14:paraId="0965C38B">
      <w:pPr>
        <w:spacing w:line="440" w:lineRule="exact"/>
        <w:ind w:left="50" w:right="50" w:firstLine="480"/>
        <w:rPr>
          <w:iCs/>
          <w:color w:val="000000" w:themeColor="text1"/>
          <w:sz w:val="24"/>
          <w:szCs w:val="24"/>
          <w:highlight w:val="none"/>
          <w14:textFill>
            <w14:solidFill>
              <w14:schemeClr w14:val="tx1"/>
            </w14:solidFill>
          </w14:textFill>
        </w:rPr>
      </w:pPr>
      <w:r>
        <w:rPr>
          <w:rFonts w:hint="eastAsia"/>
          <w:iCs/>
          <w:color w:val="000000" w:themeColor="text1"/>
          <w:sz w:val="24"/>
          <w:szCs w:val="24"/>
          <w:highlight w:val="none"/>
          <w14:textFill>
            <w14:solidFill>
              <w14:schemeClr w14:val="tx1"/>
            </w14:solidFill>
          </w14:textFill>
        </w:rPr>
        <w:t>7、付款方式：</w:t>
      </w:r>
    </w:p>
    <w:p w14:paraId="2E631F29">
      <w:pPr>
        <w:spacing w:line="440" w:lineRule="exact"/>
        <w:ind w:left="51" w:right="51" w:firstLine="782"/>
        <w:rPr>
          <w:rFonts w:asciiTheme="minorEastAsia" w:hAnsiTheme="minorEastAsia" w:eastAsiaTheme="minorEastAsia"/>
          <w:i/>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i/>
          <w:iCs/>
          <w:color w:val="000000" w:themeColor="text1"/>
          <w:sz w:val="24"/>
          <w:szCs w:val="24"/>
          <w:highlight w:val="none"/>
          <w:u w:val="single"/>
          <w14:textFill>
            <w14:solidFill>
              <w14:schemeClr w14:val="tx1"/>
            </w14:solidFill>
          </w14:textFill>
        </w:rPr>
        <w:t>7.1、合同签订后的一个月内，采购人向中标人支付合同总价的</w:t>
      </w:r>
      <w:r>
        <w:rPr>
          <w:rFonts w:hint="eastAsia" w:asciiTheme="minorEastAsia" w:hAnsiTheme="minorEastAsia" w:eastAsiaTheme="minorEastAsia"/>
          <w:i/>
          <w:iCs/>
          <w:color w:val="000000" w:themeColor="text1"/>
          <w:sz w:val="24"/>
          <w:szCs w:val="24"/>
          <w:highlight w:val="none"/>
          <w:u w:val="single"/>
          <w:lang w:val="en-US" w:eastAsia="zh-CN"/>
          <w14:textFill>
            <w14:solidFill>
              <w14:schemeClr w14:val="tx1"/>
            </w14:solidFill>
          </w14:textFill>
        </w:rPr>
        <w:t>70</w:t>
      </w:r>
      <w:r>
        <w:rPr>
          <w:rFonts w:hint="eastAsia" w:asciiTheme="minorEastAsia" w:hAnsiTheme="minorEastAsia" w:eastAsiaTheme="minorEastAsia"/>
          <w:i/>
          <w:iCs/>
          <w:color w:val="000000" w:themeColor="text1"/>
          <w:sz w:val="24"/>
          <w:szCs w:val="24"/>
          <w:highlight w:val="none"/>
          <w:u w:val="single"/>
          <w14:textFill>
            <w14:solidFill>
              <w14:schemeClr w14:val="tx1"/>
            </w14:solidFill>
          </w14:textFill>
        </w:rPr>
        <w:t>%作为预付款；</w:t>
      </w:r>
    </w:p>
    <w:p w14:paraId="3DB06D30">
      <w:pPr>
        <w:spacing w:line="440" w:lineRule="exact"/>
        <w:ind w:left="51" w:right="51" w:firstLine="782"/>
        <w:rPr>
          <w:rFonts w:asciiTheme="minorEastAsia" w:hAnsiTheme="minorEastAsia" w:eastAsiaTheme="minorEastAsia"/>
          <w:i/>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i/>
          <w:iCs/>
          <w:color w:val="000000" w:themeColor="text1"/>
          <w:sz w:val="24"/>
          <w:szCs w:val="24"/>
          <w:highlight w:val="none"/>
          <w:u w:val="single"/>
          <w14:textFill>
            <w14:solidFill>
              <w14:schemeClr w14:val="tx1"/>
            </w14:solidFill>
          </w14:textFill>
        </w:rPr>
        <w:t>7.</w:t>
      </w:r>
      <w:r>
        <w:rPr>
          <w:rFonts w:hint="eastAsia" w:asciiTheme="minorEastAsia" w:hAnsiTheme="minorEastAsia" w:eastAsiaTheme="minorEastAsia"/>
          <w:i/>
          <w:iCs/>
          <w:color w:val="000000" w:themeColor="text1"/>
          <w:sz w:val="24"/>
          <w:szCs w:val="24"/>
          <w:highlight w:val="none"/>
          <w:u w:val="single"/>
          <w:lang w:val="en-US" w:eastAsia="zh-CN"/>
          <w14:textFill>
            <w14:solidFill>
              <w14:schemeClr w14:val="tx1"/>
            </w14:solidFill>
          </w14:textFill>
        </w:rPr>
        <w:t>2</w:t>
      </w:r>
      <w:r>
        <w:rPr>
          <w:rFonts w:hint="eastAsia" w:asciiTheme="minorEastAsia" w:hAnsiTheme="minorEastAsia" w:eastAsiaTheme="minorEastAsia"/>
          <w:i/>
          <w:iCs/>
          <w:color w:val="000000" w:themeColor="text1"/>
          <w:sz w:val="24"/>
          <w:szCs w:val="24"/>
          <w:highlight w:val="none"/>
          <w:u w:val="single"/>
          <w14:textFill>
            <w14:solidFill>
              <w14:schemeClr w14:val="tx1"/>
            </w14:solidFill>
          </w14:textFill>
        </w:rPr>
        <w:t>、中标人提供的货物经采购人验收合格后的两个月内，采购人向中标人支付至合同总价的90%；</w:t>
      </w:r>
    </w:p>
    <w:p w14:paraId="3C91E392">
      <w:pPr>
        <w:spacing w:line="440" w:lineRule="exact"/>
        <w:ind w:left="51" w:right="51" w:firstLine="782"/>
        <w:rPr>
          <w:rFonts w:asciiTheme="minorEastAsia" w:hAnsiTheme="minorEastAsia" w:eastAsiaTheme="minorEastAsia"/>
          <w:i/>
          <w:i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i/>
          <w:iCs/>
          <w:color w:val="000000" w:themeColor="text1"/>
          <w:sz w:val="24"/>
          <w:szCs w:val="24"/>
          <w:highlight w:val="none"/>
          <w:u w:val="single"/>
          <w14:textFill>
            <w14:solidFill>
              <w14:schemeClr w14:val="tx1"/>
            </w14:solidFill>
          </w14:textFill>
        </w:rPr>
        <w:t>7.</w:t>
      </w:r>
      <w:r>
        <w:rPr>
          <w:rFonts w:hint="eastAsia" w:asciiTheme="minorEastAsia" w:hAnsiTheme="minorEastAsia" w:eastAsiaTheme="minorEastAsia"/>
          <w:i/>
          <w:iCs/>
          <w:color w:val="000000" w:themeColor="text1"/>
          <w:sz w:val="24"/>
          <w:szCs w:val="24"/>
          <w:highlight w:val="none"/>
          <w:u w:val="single"/>
          <w:lang w:val="en-US" w:eastAsia="zh-CN"/>
          <w14:textFill>
            <w14:solidFill>
              <w14:schemeClr w14:val="tx1"/>
            </w14:solidFill>
          </w14:textFill>
        </w:rPr>
        <w:t>3</w:t>
      </w:r>
      <w:r>
        <w:rPr>
          <w:rFonts w:hint="eastAsia" w:asciiTheme="minorEastAsia" w:hAnsiTheme="minorEastAsia" w:eastAsiaTheme="minorEastAsia"/>
          <w:i/>
          <w:iCs/>
          <w:color w:val="000000" w:themeColor="text1"/>
          <w:sz w:val="24"/>
          <w:szCs w:val="24"/>
          <w:highlight w:val="none"/>
          <w:u w:val="single"/>
          <w14:textFill>
            <w14:solidFill>
              <w14:schemeClr w14:val="tx1"/>
            </w14:solidFill>
          </w14:textFill>
        </w:rPr>
        <w:t>、安装调试验收合格之日起一周年后的农历年前，采购人向中标人支付至合同总价的100%。</w:t>
      </w:r>
    </w:p>
    <w:p w14:paraId="6C9E7711">
      <w:pPr>
        <w:spacing w:line="440" w:lineRule="exact"/>
        <w:ind w:left="50" w:right="50"/>
        <w:rPr>
          <w:iCs/>
          <w:color w:val="000000" w:themeColor="text1"/>
          <w:sz w:val="24"/>
          <w:szCs w:val="24"/>
          <w:highlight w:val="none"/>
          <w14:textFill>
            <w14:solidFill>
              <w14:schemeClr w14:val="tx1"/>
            </w14:solidFill>
          </w14:textFill>
        </w:rPr>
      </w:pPr>
      <w:r>
        <w:rPr>
          <w:rFonts w:hint="eastAsia"/>
          <w:iCs/>
          <w:color w:val="000000" w:themeColor="text1"/>
          <w:sz w:val="24"/>
          <w:szCs w:val="24"/>
          <w:highlight w:val="none"/>
          <w14:textFill>
            <w14:solidFill>
              <w14:schemeClr w14:val="tx1"/>
            </w14:solidFill>
          </w14:textFill>
        </w:rPr>
        <w:t>注：（</w:t>
      </w:r>
      <w:r>
        <w:rPr>
          <w:iCs/>
          <w:color w:val="000000" w:themeColor="text1"/>
          <w:sz w:val="24"/>
          <w:szCs w:val="24"/>
          <w:highlight w:val="none"/>
          <w14:textFill>
            <w14:solidFill>
              <w14:schemeClr w14:val="tx1"/>
            </w14:solidFill>
          </w14:textFill>
        </w:rPr>
        <w:t>1</w:t>
      </w:r>
      <w:r>
        <w:rPr>
          <w:rFonts w:hint="eastAsia"/>
          <w:iCs/>
          <w:color w:val="000000" w:themeColor="text1"/>
          <w:sz w:val="24"/>
          <w:szCs w:val="24"/>
          <w:highlight w:val="none"/>
          <w14:textFill>
            <w14:solidFill>
              <w14:schemeClr w14:val="tx1"/>
            </w14:solidFill>
          </w14:textFill>
        </w:rPr>
        <w:t xml:space="preserve">）以上每次付款前，中标人均应提供符合采购人要求的同等金额的合法有效发票。否则，采购人有权顺延付款时间，且不承担任何违约及赔偿责任。 </w:t>
      </w:r>
    </w:p>
    <w:p w14:paraId="0D7A9191">
      <w:pPr>
        <w:spacing w:line="440" w:lineRule="exact"/>
        <w:ind w:left="50" w:right="50" w:firstLine="480"/>
        <w:rPr>
          <w:iCs/>
          <w:color w:val="000000" w:themeColor="text1"/>
          <w:sz w:val="24"/>
          <w:szCs w:val="24"/>
          <w:highlight w:val="none"/>
          <w14:textFill>
            <w14:solidFill>
              <w14:schemeClr w14:val="tx1"/>
            </w14:solidFill>
          </w14:textFill>
        </w:rPr>
      </w:pPr>
      <w:r>
        <w:rPr>
          <w:rFonts w:hint="eastAsia"/>
          <w:iCs/>
          <w:color w:val="000000" w:themeColor="text1"/>
          <w:sz w:val="24"/>
          <w:szCs w:val="24"/>
          <w:highlight w:val="none"/>
          <w14:textFill>
            <w14:solidFill>
              <w14:schemeClr w14:val="tx1"/>
            </w14:solidFill>
          </w14:textFill>
        </w:rPr>
        <w:t>（2）本项目支付方式支持数字人民币方式。</w:t>
      </w:r>
    </w:p>
    <w:p w14:paraId="20FE004E">
      <w:pPr>
        <w:spacing w:line="440" w:lineRule="exact"/>
        <w:ind w:left="50" w:right="50" w:firstLine="480"/>
        <w:rPr>
          <w:iCs/>
          <w:color w:val="000000" w:themeColor="text1"/>
          <w:sz w:val="24"/>
          <w:szCs w:val="24"/>
          <w:highlight w:val="none"/>
          <w14:textFill>
            <w14:solidFill>
              <w14:schemeClr w14:val="tx1"/>
            </w14:solidFill>
          </w14:textFill>
        </w:rPr>
      </w:pPr>
      <w:r>
        <w:rPr>
          <w:rFonts w:hint="eastAsia"/>
          <w:iCs/>
          <w:color w:val="000000" w:themeColor="text1"/>
          <w:sz w:val="24"/>
          <w:szCs w:val="24"/>
          <w:highlight w:val="none"/>
          <w14:textFill>
            <w14:solidFill>
              <w14:schemeClr w14:val="tx1"/>
            </w14:solidFill>
          </w14:textFill>
        </w:rPr>
        <w:t>（3）在签订合同时中标人明确表示无需预付款或者主要要求降低预付款比例的，上述付款方式中预付款要求可不执行，但应当由中标人书面提出并作为采购档案保存。</w:t>
      </w:r>
    </w:p>
    <w:p w14:paraId="21C427B3">
      <w:pPr>
        <w:spacing w:line="440" w:lineRule="exact"/>
        <w:ind w:left="50" w:right="50" w:firstLine="480"/>
        <w:rPr>
          <w:rFonts w:ascii="宋体" w:hAnsi="宋体"/>
          <w:color w:val="000000" w:themeColor="text1"/>
          <w:sz w:val="24"/>
          <w:szCs w:val="24"/>
          <w:highlight w:val="none"/>
          <w:lang w:val="zh-CN" w:bidi="ar"/>
          <w14:textFill>
            <w14:solidFill>
              <w14:schemeClr w14:val="tx1"/>
            </w14:solidFill>
          </w14:textFill>
        </w:rPr>
      </w:pPr>
      <w:r>
        <w:rPr>
          <w:rFonts w:hint="eastAsia"/>
          <w:iCs/>
          <w:color w:val="000000" w:themeColor="text1"/>
          <w:sz w:val="24"/>
          <w:szCs w:val="24"/>
          <w:highlight w:val="none"/>
          <w14:textFill>
            <w14:solidFill>
              <w14:schemeClr w14:val="tx1"/>
            </w14:solidFill>
          </w14:textFill>
        </w:rPr>
        <w:t>8、</w:t>
      </w:r>
      <w:r>
        <w:rPr>
          <w:rFonts w:hint="eastAsia" w:ascii="宋体" w:hAnsi="宋体"/>
          <w:color w:val="000000" w:themeColor="text1"/>
          <w:sz w:val="24"/>
          <w:szCs w:val="24"/>
          <w:highlight w:val="none"/>
          <w:lang w:val="zh-CN" w:bidi="ar"/>
          <w14:textFill>
            <w14:solidFill>
              <w14:schemeClr w14:val="tx1"/>
            </w14:solidFill>
          </w14:textFill>
        </w:rPr>
        <w:t>交付地点：</w:t>
      </w:r>
      <w:r>
        <w:rPr>
          <w:rFonts w:hint="eastAsia" w:ascii="宋体" w:hAnsi="宋体"/>
          <w:color w:val="000000" w:themeColor="text1"/>
          <w:sz w:val="24"/>
          <w:szCs w:val="24"/>
          <w:highlight w:val="none"/>
          <w:lang w:bidi="ar"/>
          <w14:textFill>
            <w14:solidFill>
              <w14:schemeClr w14:val="tx1"/>
            </w14:solidFill>
          </w14:textFill>
        </w:rPr>
        <w:t>常熟市昆承湖</w:t>
      </w:r>
      <w:r>
        <w:rPr>
          <w:rFonts w:hint="eastAsia" w:ascii="宋体" w:hAnsi="宋体"/>
          <w:color w:val="000000" w:themeColor="text1"/>
          <w:sz w:val="24"/>
          <w:szCs w:val="24"/>
          <w:highlight w:val="none"/>
          <w:lang w:val="zh-CN" w:bidi="ar"/>
          <w14:textFill>
            <w14:solidFill>
              <w14:schemeClr w14:val="tx1"/>
            </w14:solidFill>
          </w14:textFill>
        </w:rPr>
        <w:t>。</w:t>
      </w:r>
    </w:p>
    <w:p w14:paraId="29EBD942">
      <w:pPr>
        <w:spacing w:line="440" w:lineRule="exact"/>
        <w:ind w:left="50" w:right="50" w:firstLine="480"/>
        <w:rPr>
          <w:rFonts w:ascii="宋体" w:hAnsi="宋体"/>
          <w:color w:val="000000" w:themeColor="text1"/>
          <w:sz w:val="24"/>
          <w:szCs w:val="24"/>
          <w:highlight w:val="none"/>
          <w:lang w:bidi="ar"/>
          <w14:textFill>
            <w14:solidFill>
              <w14:schemeClr w14:val="tx1"/>
            </w14:solidFill>
          </w14:textFill>
        </w:rPr>
      </w:pPr>
      <w:r>
        <w:rPr>
          <w:rFonts w:hint="eastAsia"/>
          <w:b/>
          <w:bCs/>
          <w:iCs/>
          <w:color w:val="000000" w:themeColor="text1"/>
          <w:sz w:val="24"/>
          <w:szCs w:val="24"/>
          <w:highlight w:val="none"/>
          <w14:textFill>
            <w14:solidFill>
              <w14:schemeClr w14:val="tx1"/>
            </w14:solidFill>
          </w14:textFill>
        </w:rPr>
        <w:t>9、</w:t>
      </w:r>
      <w:r>
        <w:rPr>
          <w:rFonts w:hint="eastAsia" w:ascii="宋体" w:hAnsi="宋体"/>
          <w:b/>
          <w:color w:val="000000" w:themeColor="text1"/>
          <w:sz w:val="24"/>
          <w:szCs w:val="24"/>
          <w:highlight w:val="none"/>
          <w:lang w:bidi="ar"/>
          <w14:textFill>
            <w14:solidFill>
              <w14:schemeClr w14:val="tx1"/>
            </w14:solidFill>
          </w14:textFill>
        </w:rPr>
        <w:t>本项目采购预算为￥4080000.00元（人民币肆佰零捌万元整）；最高限价为￥4060000.00元（人民币肆佰零陆万元整），投标人的投标总价不得超过最高限价，否则其投标按无效投标处理。</w:t>
      </w:r>
    </w:p>
    <w:p w14:paraId="2C377271">
      <w:pPr>
        <w:spacing w:line="440" w:lineRule="exact"/>
        <w:ind w:left="50" w:right="50" w:firstLine="480"/>
        <w:rPr>
          <w:rFonts w:ascii="宋体" w:hAnsi="宋体"/>
          <w:color w:val="000000" w:themeColor="text1"/>
          <w:sz w:val="24"/>
          <w:szCs w:val="24"/>
          <w:highlight w:val="none"/>
          <w:lang w:bidi="ar"/>
          <w14:textFill>
            <w14:solidFill>
              <w14:schemeClr w14:val="tx1"/>
            </w14:solidFill>
          </w14:textFill>
        </w:rPr>
      </w:pPr>
      <w:r>
        <w:rPr>
          <w:rFonts w:hint="eastAsia"/>
          <w:iCs/>
          <w:color w:val="000000" w:themeColor="text1"/>
          <w:sz w:val="24"/>
          <w:szCs w:val="24"/>
          <w:highlight w:val="none"/>
          <w14:textFill>
            <w14:solidFill>
              <w14:schemeClr w14:val="tx1"/>
            </w14:solidFill>
          </w14:textFill>
        </w:rPr>
        <w:t>10、</w:t>
      </w:r>
      <w:r>
        <w:rPr>
          <w:rFonts w:hint="eastAsia" w:ascii="宋体" w:hAnsi="宋体"/>
          <w:color w:val="000000" w:themeColor="text1"/>
          <w:sz w:val="24"/>
          <w:szCs w:val="24"/>
          <w:highlight w:val="none"/>
          <w:lang w:bidi="ar"/>
          <w14:textFill>
            <w14:solidFill>
              <w14:schemeClr w14:val="tx1"/>
            </w14:solidFill>
          </w14:textFill>
        </w:rPr>
        <w:t>本项目不接受联合体参加投标，不得以任何形式进行转包及分包。</w:t>
      </w:r>
    </w:p>
    <w:p w14:paraId="5E319F22">
      <w:pPr>
        <w:spacing w:line="440" w:lineRule="exact"/>
        <w:rPr>
          <w:b/>
          <w:bCs/>
          <w:color w:val="000000" w:themeColor="text1"/>
          <w:sz w:val="28"/>
          <w:szCs w:val="28"/>
          <w:highlight w:val="none"/>
          <w14:textFill>
            <w14:solidFill>
              <w14:schemeClr w14:val="tx1"/>
            </w14:solidFill>
          </w14:textFill>
        </w:rPr>
      </w:pPr>
      <w:bookmarkStart w:id="251" w:name="_Toc29553"/>
      <w:r>
        <w:rPr>
          <w:rFonts w:hint="eastAsia"/>
          <w:b/>
          <w:bCs/>
          <w:color w:val="000000" w:themeColor="text1"/>
          <w:sz w:val="28"/>
          <w:szCs w:val="28"/>
          <w:highlight w:val="none"/>
          <w14:textFill>
            <w14:solidFill>
              <w14:schemeClr w14:val="tx1"/>
            </w14:solidFill>
          </w14:textFill>
        </w:rPr>
        <w:t>二、</w:t>
      </w:r>
      <w:bookmarkEnd w:id="251"/>
      <w:r>
        <w:rPr>
          <w:rFonts w:hint="eastAsia"/>
          <w:b/>
          <w:bCs/>
          <w:color w:val="000000" w:themeColor="text1"/>
          <w:sz w:val="28"/>
          <w:szCs w:val="28"/>
          <w:highlight w:val="none"/>
          <w14:textFill>
            <w14:solidFill>
              <w14:schemeClr w14:val="tx1"/>
            </w14:solidFill>
          </w14:textFill>
        </w:rPr>
        <w:t>货物清单：</w:t>
      </w:r>
    </w:p>
    <w:tbl>
      <w:tblPr>
        <w:tblStyle w:val="42"/>
        <w:tblW w:w="10477" w:type="dxa"/>
        <w:tblInd w:w="-5" w:type="dxa"/>
        <w:tblLayout w:type="fixed"/>
        <w:tblCellMar>
          <w:top w:w="0" w:type="dxa"/>
          <w:left w:w="108" w:type="dxa"/>
          <w:bottom w:w="0" w:type="dxa"/>
          <w:right w:w="108" w:type="dxa"/>
        </w:tblCellMar>
      </w:tblPr>
      <w:tblGrid>
        <w:gridCol w:w="1298"/>
        <w:gridCol w:w="4312"/>
        <w:gridCol w:w="1124"/>
        <w:gridCol w:w="1102"/>
        <w:gridCol w:w="2641"/>
      </w:tblGrid>
      <w:tr w14:paraId="3D361D66">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5DA719B2">
            <w:pPr>
              <w:widowControl/>
              <w:jc w:val="center"/>
              <w:rPr>
                <w:rFonts w:ascii="宋体" w:hAnsi="宋体" w:cs="宋体"/>
                <w:b/>
                <w:bCs/>
                <w:color w:val="000000" w:themeColor="text1"/>
                <w:sz w:val="24"/>
                <w:szCs w:val="24"/>
                <w:highlight w:val="none"/>
                <w14:textFill>
                  <w14:solidFill>
                    <w14:schemeClr w14:val="tx1"/>
                  </w14:solidFill>
                </w14:textFill>
              </w:rPr>
            </w:pPr>
            <w:bookmarkStart w:id="252" w:name="_Toc29987"/>
            <w:r>
              <w:rPr>
                <w:rFonts w:hint="eastAsia" w:ascii="宋体" w:hAnsi="宋体" w:cs="宋体"/>
                <w:b/>
                <w:bCs/>
                <w:color w:val="000000" w:themeColor="text1"/>
                <w:sz w:val="24"/>
                <w:szCs w:val="24"/>
                <w:highlight w:val="none"/>
                <w14:textFill>
                  <w14:solidFill>
                    <w14:schemeClr w14:val="tx1"/>
                  </w14:solidFill>
                </w14:textFill>
              </w:rPr>
              <w:t>序号</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49606CD3">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设备（项目)名称</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745E5F3">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单位</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54A7C52">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数量</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768F6D3">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备注</w:t>
            </w:r>
          </w:p>
        </w:tc>
      </w:tr>
      <w:tr w14:paraId="0636DED0">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DA9BE87">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一</w:t>
            </w:r>
          </w:p>
        </w:tc>
        <w:tc>
          <w:tcPr>
            <w:tcW w:w="9179" w:type="dxa"/>
            <w:gridSpan w:val="4"/>
            <w:tcBorders>
              <w:top w:val="single" w:color="000000" w:sz="4" w:space="0"/>
              <w:left w:val="single" w:color="000000" w:sz="4" w:space="0"/>
              <w:bottom w:val="single" w:color="000000" w:sz="4" w:space="0"/>
              <w:right w:val="single" w:color="000000" w:sz="4" w:space="0"/>
            </w:tcBorders>
            <w:noWrap w:val="0"/>
            <w:vAlign w:val="center"/>
          </w:tcPr>
          <w:p w14:paraId="279F50B5">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水位雨量站</w:t>
            </w:r>
          </w:p>
        </w:tc>
      </w:tr>
      <w:tr w14:paraId="1D2CE9AD">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776921D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1C51989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雷达水位计</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35E8F8A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174075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3FDBF915">
            <w:pPr>
              <w:widowControl/>
              <w:jc w:val="center"/>
              <w:rPr>
                <w:rFonts w:ascii="宋体" w:hAnsi="宋体" w:cs="宋体"/>
                <w:color w:val="000000" w:themeColor="text1"/>
                <w:sz w:val="24"/>
                <w:szCs w:val="24"/>
                <w:highlight w:val="none"/>
                <w14:textFill>
                  <w14:solidFill>
                    <w14:schemeClr w14:val="tx1"/>
                  </w14:solidFill>
                </w14:textFill>
              </w:rPr>
            </w:pPr>
          </w:p>
        </w:tc>
      </w:tr>
      <w:tr w14:paraId="571D9E38">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1291DC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118BE69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△智能</w:t>
            </w:r>
            <w:r>
              <w:rPr>
                <w:rFonts w:hint="eastAsia" w:ascii="宋体" w:hAnsi="宋体" w:cs="宋体"/>
                <w:color w:val="000000" w:themeColor="text1"/>
                <w:sz w:val="24"/>
                <w:szCs w:val="24"/>
                <w:highlight w:val="none"/>
                <w14:textFill>
                  <w14:solidFill>
                    <w14:schemeClr w14:val="tx1"/>
                  </w14:solidFill>
                </w14:textFill>
              </w:rPr>
              <w:t>雨量测量仪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5675301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B5C71F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2FA2BE0">
            <w:pPr>
              <w:widowControl/>
              <w:jc w:val="center"/>
              <w:rPr>
                <w:rFonts w:ascii="宋体" w:hAnsi="宋体" w:cs="宋体"/>
                <w:color w:val="000000" w:themeColor="text1"/>
                <w:sz w:val="24"/>
                <w:szCs w:val="24"/>
                <w:highlight w:val="none"/>
                <w14:textFill>
                  <w14:solidFill>
                    <w14:schemeClr w14:val="tx1"/>
                  </w14:solidFill>
                </w14:textFill>
              </w:rPr>
            </w:pPr>
          </w:p>
        </w:tc>
      </w:tr>
      <w:tr w14:paraId="3D6C2C8A">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98BC47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0E41CA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RTU</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57AEC6B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D50902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F368438">
            <w:pPr>
              <w:widowControl/>
              <w:jc w:val="center"/>
              <w:rPr>
                <w:rFonts w:ascii="宋体" w:hAnsi="宋体" w:cs="宋体"/>
                <w:color w:val="000000" w:themeColor="text1"/>
                <w:sz w:val="24"/>
                <w:szCs w:val="24"/>
                <w:highlight w:val="none"/>
                <w14:textFill>
                  <w14:solidFill>
                    <w14:schemeClr w14:val="tx1"/>
                  </w14:solidFill>
                </w14:textFill>
              </w:rPr>
            </w:pPr>
          </w:p>
        </w:tc>
      </w:tr>
      <w:tr w14:paraId="236CD2EF">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2FBF2C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68F62D9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蓄电池</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048A540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02B5C4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D0AD9F1">
            <w:pPr>
              <w:widowControl/>
              <w:jc w:val="center"/>
              <w:rPr>
                <w:rFonts w:ascii="宋体" w:hAnsi="宋体" w:cs="宋体"/>
                <w:color w:val="000000" w:themeColor="text1"/>
                <w:sz w:val="24"/>
                <w:szCs w:val="24"/>
                <w:highlight w:val="none"/>
                <w14:textFill>
                  <w14:solidFill>
                    <w14:schemeClr w14:val="tx1"/>
                  </w14:solidFill>
                </w14:textFill>
              </w:rPr>
            </w:pPr>
          </w:p>
        </w:tc>
      </w:tr>
      <w:tr w14:paraId="4034B549">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5ADDCE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26E2892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充电控制器</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70ABA82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C72C76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E60D2A1">
            <w:pPr>
              <w:widowControl/>
              <w:jc w:val="center"/>
              <w:rPr>
                <w:rFonts w:ascii="宋体" w:hAnsi="宋体" w:cs="宋体"/>
                <w:color w:val="000000" w:themeColor="text1"/>
                <w:sz w:val="24"/>
                <w:szCs w:val="24"/>
                <w:highlight w:val="none"/>
                <w14:textFill>
                  <w14:solidFill>
                    <w14:schemeClr w14:val="tx1"/>
                  </w14:solidFill>
                </w14:textFill>
              </w:rPr>
            </w:pPr>
          </w:p>
        </w:tc>
      </w:tr>
      <w:tr w14:paraId="2482E7B6">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28553C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6E8ADD2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太阳能板</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036A78E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3CB67B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70D99A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含安装支架</w:t>
            </w:r>
          </w:p>
        </w:tc>
      </w:tr>
      <w:tr w14:paraId="3A353AF5">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7EEEFAB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79AD134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设备箱</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349866D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402ED9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AFFF127">
            <w:pPr>
              <w:widowControl/>
              <w:jc w:val="center"/>
              <w:rPr>
                <w:rFonts w:ascii="宋体" w:hAnsi="宋体" w:cs="宋体"/>
                <w:color w:val="000000" w:themeColor="text1"/>
                <w:sz w:val="24"/>
                <w:szCs w:val="24"/>
                <w:highlight w:val="none"/>
                <w14:textFill>
                  <w14:solidFill>
                    <w14:schemeClr w14:val="tx1"/>
                  </w14:solidFill>
                </w14:textFill>
              </w:rPr>
            </w:pPr>
          </w:p>
        </w:tc>
      </w:tr>
      <w:tr w14:paraId="3EC06E71">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CAEB52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6BD8E58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立杆及支架</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7CF0DF3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721EE7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16818B55">
            <w:pPr>
              <w:widowControl/>
              <w:jc w:val="center"/>
              <w:rPr>
                <w:rFonts w:ascii="宋体" w:hAnsi="宋体" w:cs="宋体"/>
                <w:color w:val="000000" w:themeColor="text1"/>
                <w:sz w:val="24"/>
                <w:szCs w:val="24"/>
                <w:highlight w:val="none"/>
                <w14:textFill>
                  <w14:solidFill>
                    <w14:schemeClr w14:val="tx1"/>
                  </w14:solidFill>
                </w14:textFill>
              </w:rPr>
            </w:pPr>
          </w:p>
        </w:tc>
      </w:tr>
      <w:tr w14:paraId="5608A190">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C2EE67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433217B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水尺</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5A0CAC0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0DE48D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10F56466">
            <w:pPr>
              <w:widowControl/>
              <w:jc w:val="center"/>
              <w:rPr>
                <w:rFonts w:ascii="宋体" w:hAnsi="宋体" w:cs="宋体"/>
                <w:color w:val="000000" w:themeColor="text1"/>
                <w:sz w:val="24"/>
                <w:szCs w:val="24"/>
                <w:highlight w:val="none"/>
                <w14:textFill>
                  <w14:solidFill>
                    <w14:schemeClr w14:val="tx1"/>
                  </w14:solidFill>
                </w14:textFill>
              </w:rPr>
            </w:pPr>
          </w:p>
        </w:tc>
      </w:tr>
      <w:tr w14:paraId="23166992">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FD1DDE1">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二</w:t>
            </w:r>
          </w:p>
        </w:tc>
        <w:tc>
          <w:tcPr>
            <w:tcW w:w="9179" w:type="dxa"/>
            <w:gridSpan w:val="4"/>
            <w:tcBorders>
              <w:top w:val="single" w:color="000000" w:sz="4" w:space="0"/>
              <w:left w:val="single" w:color="000000" w:sz="4" w:space="0"/>
              <w:bottom w:val="single" w:color="000000" w:sz="4" w:space="0"/>
              <w:right w:val="single" w:color="000000" w:sz="4" w:space="0"/>
            </w:tcBorders>
            <w:noWrap w:val="0"/>
            <w:vAlign w:val="center"/>
          </w:tcPr>
          <w:p w14:paraId="1DF6550D">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流量站</w:t>
            </w:r>
          </w:p>
        </w:tc>
      </w:tr>
      <w:tr w14:paraId="07D67959">
        <w:tblPrEx>
          <w:tblCellMar>
            <w:top w:w="0" w:type="dxa"/>
            <w:left w:w="108" w:type="dxa"/>
            <w:bottom w:w="0" w:type="dxa"/>
            <w:right w:w="108" w:type="dxa"/>
          </w:tblCellMar>
        </w:tblPrEx>
        <w:trPr>
          <w:trHeight w:val="396"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2FCD602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28C5539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H-ADCP</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0D7BE5E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02AAD9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83F6BB6">
            <w:pPr>
              <w:widowControl/>
              <w:jc w:val="center"/>
              <w:rPr>
                <w:rFonts w:ascii="宋体" w:hAnsi="宋体" w:cs="宋体"/>
                <w:color w:val="000000" w:themeColor="text1"/>
                <w:sz w:val="24"/>
                <w:szCs w:val="24"/>
                <w:highlight w:val="none"/>
                <w14:textFill>
                  <w14:solidFill>
                    <w14:schemeClr w14:val="tx1"/>
                  </w14:solidFill>
                </w14:textFill>
              </w:rPr>
            </w:pPr>
          </w:p>
        </w:tc>
      </w:tr>
      <w:tr w14:paraId="54F13E78">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57F9DF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4EE048F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雷达水位计</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4EE95AF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08BCEA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2D5B3AC">
            <w:pPr>
              <w:widowControl/>
              <w:jc w:val="center"/>
              <w:rPr>
                <w:rFonts w:ascii="宋体" w:hAnsi="宋体" w:cs="宋体"/>
                <w:color w:val="000000" w:themeColor="text1"/>
                <w:sz w:val="24"/>
                <w:szCs w:val="24"/>
                <w:highlight w:val="none"/>
                <w14:textFill>
                  <w14:solidFill>
                    <w14:schemeClr w14:val="tx1"/>
                  </w14:solidFill>
                </w14:textFill>
              </w:rPr>
            </w:pPr>
          </w:p>
        </w:tc>
      </w:tr>
      <w:tr w14:paraId="4D7BFBB5">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3B0D67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310EAD0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遥测终端机</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D78B82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CFC428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581792AF">
            <w:pPr>
              <w:widowControl/>
              <w:jc w:val="center"/>
              <w:rPr>
                <w:rFonts w:ascii="宋体" w:hAnsi="宋体" w:cs="宋体"/>
                <w:color w:val="000000" w:themeColor="text1"/>
                <w:sz w:val="24"/>
                <w:szCs w:val="24"/>
                <w:highlight w:val="none"/>
                <w14:textFill>
                  <w14:solidFill>
                    <w14:schemeClr w14:val="tx1"/>
                  </w14:solidFill>
                </w14:textFill>
              </w:rPr>
            </w:pPr>
          </w:p>
        </w:tc>
      </w:tr>
      <w:tr w14:paraId="7E98A47C">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DE52CA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E39CF6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蓄电池</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5FB9A62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723BB9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541F2A5F">
            <w:pPr>
              <w:widowControl/>
              <w:jc w:val="center"/>
              <w:rPr>
                <w:rFonts w:ascii="宋体" w:hAnsi="宋体" w:cs="宋体"/>
                <w:color w:val="000000" w:themeColor="text1"/>
                <w:sz w:val="24"/>
                <w:szCs w:val="24"/>
                <w:highlight w:val="none"/>
                <w14:textFill>
                  <w14:solidFill>
                    <w14:schemeClr w14:val="tx1"/>
                  </w14:solidFill>
                </w14:textFill>
              </w:rPr>
            </w:pPr>
          </w:p>
        </w:tc>
      </w:tr>
      <w:tr w14:paraId="0DE22213">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2B6270E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631AC18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太阳能板</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468C03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3683D5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2B787ED">
            <w:pPr>
              <w:widowControl/>
              <w:jc w:val="center"/>
              <w:rPr>
                <w:rFonts w:ascii="宋体" w:hAnsi="宋体" w:cs="宋体"/>
                <w:color w:val="000000" w:themeColor="text1"/>
                <w:sz w:val="24"/>
                <w:szCs w:val="24"/>
                <w:highlight w:val="none"/>
                <w14:textFill>
                  <w14:solidFill>
                    <w14:schemeClr w14:val="tx1"/>
                  </w14:solidFill>
                </w14:textFill>
              </w:rPr>
            </w:pPr>
          </w:p>
        </w:tc>
      </w:tr>
      <w:tr w14:paraId="26C0DE1B">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2F93BC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55C81AA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充电控制器</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D47758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0EEDC5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3D485CA3">
            <w:pPr>
              <w:widowControl/>
              <w:jc w:val="center"/>
              <w:rPr>
                <w:rFonts w:ascii="宋体" w:hAnsi="宋体" w:cs="宋体"/>
                <w:color w:val="000000" w:themeColor="text1"/>
                <w:sz w:val="24"/>
                <w:szCs w:val="24"/>
                <w:highlight w:val="none"/>
                <w14:textFill>
                  <w14:solidFill>
                    <w14:schemeClr w14:val="tx1"/>
                  </w14:solidFill>
                </w14:textFill>
              </w:rPr>
            </w:pPr>
          </w:p>
        </w:tc>
      </w:tr>
      <w:tr w14:paraId="0559A605">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5FEA74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1A2E185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设备箱</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71F13D8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5D7ED7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7C6242D0">
            <w:pPr>
              <w:widowControl/>
              <w:jc w:val="center"/>
              <w:rPr>
                <w:rFonts w:ascii="宋体" w:hAnsi="宋体" w:cs="宋体"/>
                <w:color w:val="000000" w:themeColor="text1"/>
                <w:sz w:val="24"/>
                <w:szCs w:val="24"/>
                <w:highlight w:val="none"/>
                <w14:textFill>
                  <w14:solidFill>
                    <w14:schemeClr w14:val="tx1"/>
                  </w14:solidFill>
                </w14:textFill>
              </w:rPr>
            </w:pPr>
          </w:p>
        </w:tc>
      </w:tr>
      <w:tr w14:paraId="10CD7DC3">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28DD5DC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2A80C5B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立杆及支架</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D66763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63677E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30C269F2">
            <w:pPr>
              <w:widowControl/>
              <w:jc w:val="center"/>
              <w:rPr>
                <w:rFonts w:ascii="宋体" w:hAnsi="宋体" w:cs="宋体"/>
                <w:color w:val="000000" w:themeColor="text1"/>
                <w:sz w:val="24"/>
                <w:szCs w:val="24"/>
                <w:highlight w:val="none"/>
                <w14:textFill>
                  <w14:solidFill>
                    <w14:schemeClr w14:val="tx1"/>
                  </w14:solidFill>
                </w14:textFill>
              </w:rPr>
            </w:pPr>
          </w:p>
        </w:tc>
      </w:tr>
      <w:tr w14:paraId="2AD197BF">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2526A33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19B7B7E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H-ADCP安装支架</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E0E351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D18CF0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CC2A25D">
            <w:pPr>
              <w:widowControl/>
              <w:jc w:val="center"/>
              <w:rPr>
                <w:rFonts w:ascii="宋体" w:hAnsi="宋体" w:cs="宋体"/>
                <w:color w:val="000000" w:themeColor="text1"/>
                <w:sz w:val="24"/>
                <w:szCs w:val="24"/>
                <w:highlight w:val="none"/>
                <w14:textFill>
                  <w14:solidFill>
                    <w14:schemeClr w14:val="tx1"/>
                  </w14:solidFill>
                </w14:textFill>
              </w:rPr>
            </w:pPr>
          </w:p>
        </w:tc>
      </w:tr>
      <w:tr w14:paraId="444D83E0">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5F478D4B">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三</w:t>
            </w:r>
          </w:p>
        </w:tc>
        <w:tc>
          <w:tcPr>
            <w:tcW w:w="9179" w:type="dxa"/>
            <w:gridSpan w:val="4"/>
            <w:tcBorders>
              <w:top w:val="single" w:color="000000" w:sz="4" w:space="0"/>
              <w:left w:val="single" w:color="000000" w:sz="4" w:space="0"/>
              <w:bottom w:val="single" w:color="000000" w:sz="4" w:space="0"/>
              <w:right w:val="single" w:color="000000" w:sz="4" w:space="0"/>
            </w:tcBorders>
            <w:noWrap w:val="0"/>
            <w:vAlign w:val="center"/>
          </w:tcPr>
          <w:p w14:paraId="22C806C5">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闸门开度监测站</w:t>
            </w:r>
          </w:p>
        </w:tc>
      </w:tr>
      <w:tr w14:paraId="34E8209D">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4E2299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13C4FED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闸位计</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046640C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82AB6C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47F89043">
            <w:pPr>
              <w:widowControl/>
              <w:jc w:val="center"/>
              <w:rPr>
                <w:rFonts w:ascii="宋体" w:hAnsi="宋体" w:cs="宋体"/>
                <w:color w:val="000000" w:themeColor="text1"/>
                <w:sz w:val="24"/>
                <w:szCs w:val="24"/>
                <w:highlight w:val="none"/>
                <w14:textFill>
                  <w14:solidFill>
                    <w14:schemeClr w14:val="tx1"/>
                  </w14:solidFill>
                </w14:textFill>
              </w:rPr>
            </w:pPr>
          </w:p>
        </w:tc>
      </w:tr>
      <w:tr w14:paraId="2968E069">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0DFF06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7594F3B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遥测终端机</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2B43494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BBDBB4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19FCD00F">
            <w:pPr>
              <w:widowControl/>
              <w:jc w:val="center"/>
              <w:rPr>
                <w:rFonts w:ascii="宋体" w:hAnsi="宋体" w:cs="宋体"/>
                <w:color w:val="000000" w:themeColor="text1"/>
                <w:sz w:val="24"/>
                <w:szCs w:val="24"/>
                <w:highlight w:val="none"/>
                <w14:textFill>
                  <w14:solidFill>
                    <w14:schemeClr w14:val="tx1"/>
                  </w14:solidFill>
                </w14:textFill>
              </w:rPr>
            </w:pPr>
          </w:p>
        </w:tc>
      </w:tr>
      <w:tr w14:paraId="281C7361">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D2CB16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2548B4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电源适配器</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7DE0373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452C1C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097D188">
            <w:pPr>
              <w:widowControl/>
              <w:jc w:val="center"/>
              <w:rPr>
                <w:rFonts w:ascii="宋体" w:hAnsi="宋体" w:cs="宋体"/>
                <w:color w:val="000000" w:themeColor="text1"/>
                <w:sz w:val="24"/>
                <w:szCs w:val="24"/>
                <w:highlight w:val="none"/>
                <w14:textFill>
                  <w14:solidFill>
                    <w14:schemeClr w14:val="tx1"/>
                  </w14:solidFill>
                </w14:textFill>
              </w:rPr>
            </w:pPr>
          </w:p>
        </w:tc>
      </w:tr>
      <w:tr w14:paraId="6C6490AE">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926FCA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CFE582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设备箱</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38FF709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9D08D9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198081AB">
            <w:pPr>
              <w:widowControl/>
              <w:jc w:val="center"/>
              <w:rPr>
                <w:rFonts w:ascii="宋体" w:hAnsi="宋体" w:cs="宋体"/>
                <w:color w:val="000000" w:themeColor="text1"/>
                <w:sz w:val="24"/>
                <w:szCs w:val="24"/>
                <w:highlight w:val="none"/>
                <w14:textFill>
                  <w14:solidFill>
                    <w14:schemeClr w14:val="tx1"/>
                  </w14:solidFill>
                </w14:textFill>
              </w:rPr>
            </w:pPr>
          </w:p>
        </w:tc>
      </w:tr>
      <w:tr w14:paraId="501940EC">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E37B4F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3381BE0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闸位计支架</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27F0C74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3BA574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595910F">
            <w:pPr>
              <w:widowControl/>
              <w:jc w:val="center"/>
              <w:rPr>
                <w:rFonts w:ascii="宋体" w:hAnsi="宋体" w:cs="宋体"/>
                <w:color w:val="000000" w:themeColor="text1"/>
                <w:sz w:val="24"/>
                <w:szCs w:val="24"/>
                <w:highlight w:val="none"/>
                <w14:textFill>
                  <w14:solidFill>
                    <w14:schemeClr w14:val="tx1"/>
                  </w14:solidFill>
                </w14:textFill>
              </w:rPr>
            </w:pPr>
          </w:p>
        </w:tc>
      </w:tr>
      <w:tr w14:paraId="23C6C490">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55BEF0C">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w:t>
            </w:r>
          </w:p>
        </w:tc>
        <w:tc>
          <w:tcPr>
            <w:tcW w:w="9179" w:type="dxa"/>
            <w:gridSpan w:val="4"/>
            <w:tcBorders>
              <w:top w:val="single" w:color="000000" w:sz="4" w:space="0"/>
              <w:left w:val="single" w:color="000000" w:sz="4" w:space="0"/>
              <w:bottom w:val="single" w:color="000000" w:sz="4" w:space="0"/>
              <w:right w:val="single" w:color="000000" w:sz="4" w:space="0"/>
            </w:tcBorders>
            <w:noWrap w:val="0"/>
            <w:vAlign w:val="center"/>
          </w:tcPr>
          <w:p w14:paraId="3DFA8CA3">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视频监测站</w:t>
            </w:r>
          </w:p>
        </w:tc>
      </w:tr>
      <w:tr w14:paraId="20F3E067">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7C9D615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857E39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高清视频球机</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55118EF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6895B04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1E12C8FC">
            <w:pPr>
              <w:widowControl/>
              <w:jc w:val="center"/>
              <w:rPr>
                <w:rFonts w:ascii="宋体" w:hAnsi="宋体" w:cs="宋体"/>
                <w:color w:val="000000" w:themeColor="text1"/>
                <w:sz w:val="24"/>
                <w:szCs w:val="24"/>
                <w:highlight w:val="none"/>
                <w14:textFill>
                  <w14:solidFill>
                    <w14:schemeClr w14:val="tx1"/>
                  </w14:solidFill>
                </w14:textFill>
              </w:rPr>
            </w:pPr>
          </w:p>
        </w:tc>
      </w:tr>
      <w:tr w14:paraId="3E2B51F5">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41C9E0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1CD7B1E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防雷设备</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27C9584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028EA6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A544F72">
            <w:pPr>
              <w:widowControl/>
              <w:jc w:val="center"/>
              <w:rPr>
                <w:rFonts w:ascii="宋体" w:hAnsi="宋体" w:cs="宋体"/>
                <w:color w:val="000000" w:themeColor="text1"/>
                <w:sz w:val="24"/>
                <w:szCs w:val="24"/>
                <w:highlight w:val="none"/>
                <w14:textFill>
                  <w14:solidFill>
                    <w14:schemeClr w14:val="tx1"/>
                  </w14:solidFill>
                </w14:textFill>
              </w:rPr>
            </w:pPr>
          </w:p>
        </w:tc>
      </w:tr>
      <w:tr w14:paraId="03958F1E">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2E037F8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5391C5C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电源箱</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31381FD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A86399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652BF9D">
            <w:pPr>
              <w:widowControl/>
              <w:jc w:val="center"/>
              <w:rPr>
                <w:rFonts w:ascii="宋体" w:hAnsi="宋体" w:cs="宋体"/>
                <w:color w:val="000000" w:themeColor="text1"/>
                <w:sz w:val="24"/>
                <w:szCs w:val="24"/>
                <w:highlight w:val="none"/>
                <w14:textFill>
                  <w14:solidFill>
                    <w14:schemeClr w14:val="tx1"/>
                  </w14:solidFill>
                </w14:textFill>
              </w:rPr>
            </w:pPr>
          </w:p>
        </w:tc>
      </w:tr>
      <w:tr w14:paraId="51635322">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D9299C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30D8E45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立杆及支架</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9361DA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51EAD9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495CA8B">
            <w:pPr>
              <w:widowControl/>
              <w:jc w:val="center"/>
              <w:rPr>
                <w:rFonts w:ascii="宋体" w:hAnsi="宋体" w:cs="宋体"/>
                <w:color w:val="000000" w:themeColor="text1"/>
                <w:sz w:val="24"/>
                <w:szCs w:val="24"/>
                <w:highlight w:val="none"/>
                <w14:textFill>
                  <w14:solidFill>
                    <w14:schemeClr w14:val="tx1"/>
                  </w14:solidFill>
                </w14:textFill>
              </w:rPr>
            </w:pPr>
          </w:p>
        </w:tc>
      </w:tr>
      <w:tr w14:paraId="2BBEEC59">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76570F4">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五</w:t>
            </w:r>
          </w:p>
        </w:tc>
        <w:tc>
          <w:tcPr>
            <w:tcW w:w="9179" w:type="dxa"/>
            <w:gridSpan w:val="4"/>
            <w:tcBorders>
              <w:top w:val="single" w:color="000000" w:sz="4" w:space="0"/>
              <w:left w:val="single" w:color="000000" w:sz="4" w:space="0"/>
              <w:bottom w:val="single" w:color="000000" w:sz="4" w:space="0"/>
              <w:right w:val="single" w:color="000000" w:sz="4" w:space="0"/>
            </w:tcBorders>
            <w:noWrap w:val="0"/>
            <w:vAlign w:val="center"/>
          </w:tcPr>
          <w:p w14:paraId="32794A6D">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鸟类生物多样性监测站</w:t>
            </w:r>
          </w:p>
        </w:tc>
      </w:tr>
      <w:tr w14:paraId="3CFB8D74">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2625DEE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38C2B7E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lang w:bidi="ar"/>
                <w14:textFill>
                  <w14:solidFill>
                    <w14:schemeClr w14:val="tx1"/>
                  </w14:solidFill>
                </w14:textFill>
              </w:rPr>
              <w:t>鸟类智能识别探头</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63AC78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C3C13E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43FEA340">
            <w:pPr>
              <w:widowControl/>
              <w:jc w:val="center"/>
              <w:rPr>
                <w:rFonts w:ascii="宋体" w:hAnsi="宋体" w:cs="宋体"/>
                <w:color w:val="000000" w:themeColor="text1"/>
                <w:sz w:val="24"/>
                <w:szCs w:val="24"/>
                <w:highlight w:val="none"/>
                <w14:textFill>
                  <w14:solidFill>
                    <w14:schemeClr w14:val="tx1"/>
                  </w14:solidFill>
                </w14:textFill>
              </w:rPr>
            </w:pPr>
          </w:p>
        </w:tc>
      </w:tr>
      <w:tr w14:paraId="73E4EF1B">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74DE35A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77DE3F0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lang w:bidi="ar"/>
                <w14:textFill>
                  <w14:solidFill>
                    <w14:schemeClr w14:val="tx1"/>
                  </w14:solidFill>
                </w14:textFill>
              </w:rPr>
              <w:t>鸟类鸣声监测设备</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5963666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7CD253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DECEA3E">
            <w:pPr>
              <w:widowControl/>
              <w:jc w:val="center"/>
              <w:rPr>
                <w:rFonts w:ascii="宋体" w:hAnsi="宋体" w:cs="宋体"/>
                <w:color w:val="000000" w:themeColor="text1"/>
                <w:sz w:val="24"/>
                <w:szCs w:val="24"/>
                <w:highlight w:val="none"/>
                <w14:textFill>
                  <w14:solidFill>
                    <w14:schemeClr w14:val="tx1"/>
                  </w14:solidFill>
                </w14:textFill>
              </w:rPr>
            </w:pPr>
          </w:p>
        </w:tc>
      </w:tr>
      <w:tr w14:paraId="3B5D043F">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52E50FD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75D2191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lang w:bidi="ar"/>
                <w14:textFill>
                  <w14:solidFill>
                    <w14:schemeClr w14:val="tx1"/>
                  </w14:solidFill>
                </w14:textFill>
              </w:rPr>
              <w:t>可移动望远镜</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8C9D7D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D7FE35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5D97C3F0">
            <w:pPr>
              <w:widowControl/>
              <w:jc w:val="center"/>
              <w:rPr>
                <w:rFonts w:ascii="宋体" w:hAnsi="宋体" w:cs="宋体"/>
                <w:color w:val="000000" w:themeColor="text1"/>
                <w:sz w:val="24"/>
                <w:szCs w:val="24"/>
                <w:highlight w:val="none"/>
                <w14:textFill>
                  <w14:solidFill>
                    <w14:schemeClr w14:val="tx1"/>
                  </w14:solidFill>
                </w14:textFill>
              </w:rPr>
            </w:pPr>
          </w:p>
        </w:tc>
      </w:tr>
      <w:tr w14:paraId="503A5832">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A9F5D0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1D51B74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lang w:bidi="ar"/>
                <w14:textFill>
                  <w14:solidFill>
                    <w14:schemeClr w14:val="tx1"/>
                  </w14:solidFill>
                </w14:textFill>
              </w:rPr>
              <w:t>控制终端</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3F774FE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B55170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47A38BEB">
            <w:pPr>
              <w:widowControl/>
              <w:jc w:val="center"/>
              <w:rPr>
                <w:rFonts w:ascii="宋体" w:hAnsi="宋体" w:cs="宋体"/>
                <w:strike/>
                <w:color w:val="000000" w:themeColor="text1"/>
                <w:sz w:val="24"/>
                <w:szCs w:val="24"/>
                <w:highlight w:val="none"/>
                <w14:textFill>
                  <w14:solidFill>
                    <w14:schemeClr w14:val="tx1"/>
                  </w14:solidFill>
                </w14:textFill>
              </w:rPr>
            </w:pPr>
          </w:p>
        </w:tc>
      </w:tr>
      <w:tr w14:paraId="6850E976">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73A1CFB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43AED9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lang w:bidi="ar"/>
                <w14:textFill>
                  <w14:solidFill>
                    <w14:schemeClr w14:val="tx1"/>
                  </w14:solidFill>
                </w14:textFill>
              </w:rPr>
              <w:t>无人机</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ACF2D1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台</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91842A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727D6CE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含无人机险及三者险</w:t>
            </w:r>
          </w:p>
        </w:tc>
      </w:tr>
      <w:tr w14:paraId="3AE16443">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79EDE52C">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w:t>
            </w:r>
          </w:p>
        </w:tc>
        <w:tc>
          <w:tcPr>
            <w:tcW w:w="9179" w:type="dxa"/>
            <w:gridSpan w:val="4"/>
            <w:tcBorders>
              <w:top w:val="single" w:color="000000" w:sz="4" w:space="0"/>
              <w:left w:val="single" w:color="000000" w:sz="4" w:space="0"/>
              <w:bottom w:val="single" w:color="000000" w:sz="4" w:space="0"/>
              <w:right w:val="single" w:color="000000" w:sz="4" w:space="0"/>
            </w:tcBorders>
            <w:noWrap w:val="0"/>
            <w:vAlign w:val="center"/>
          </w:tcPr>
          <w:p w14:paraId="0DA84F76">
            <w:pPr>
              <w:widowControl/>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无人机及机场</w:t>
            </w:r>
          </w:p>
        </w:tc>
      </w:tr>
      <w:tr w14:paraId="515C1DA9">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2DFBBB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5F71E8B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无人机场</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8E3811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C2732E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5BF4ECAB">
            <w:pPr>
              <w:widowControl/>
              <w:jc w:val="center"/>
              <w:rPr>
                <w:rFonts w:ascii="宋体" w:hAnsi="宋体" w:cs="宋体"/>
                <w:color w:val="000000" w:themeColor="text1"/>
                <w:sz w:val="24"/>
                <w:szCs w:val="24"/>
                <w:highlight w:val="none"/>
                <w14:textFill>
                  <w14:solidFill>
                    <w14:schemeClr w14:val="tx1"/>
                  </w14:solidFill>
                </w14:textFill>
              </w:rPr>
            </w:pPr>
          </w:p>
        </w:tc>
      </w:tr>
      <w:tr w14:paraId="387EB2AC">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6E49B0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347AD22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无人机</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217849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6E815F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A93510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含无人机险及三者险</w:t>
            </w:r>
          </w:p>
        </w:tc>
      </w:tr>
      <w:tr w14:paraId="0DD03626">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E8FA30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11DD2CF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遥控器</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4207215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FD48A9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3167136">
            <w:pPr>
              <w:widowControl/>
              <w:jc w:val="center"/>
              <w:rPr>
                <w:rFonts w:ascii="宋体" w:hAnsi="宋体" w:cs="宋体"/>
                <w:color w:val="000000" w:themeColor="text1"/>
                <w:sz w:val="24"/>
                <w:szCs w:val="24"/>
                <w:highlight w:val="none"/>
                <w14:textFill>
                  <w14:solidFill>
                    <w14:schemeClr w14:val="tx1"/>
                  </w14:solidFill>
                </w14:textFill>
              </w:rPr>
            </w:pPr>
          </w:p>
        </w:tc>
      </w:tr>
      <w:tr w14:paraId="4768624F">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02713F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3D38C95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图传模块</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42AA50D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D44075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3EA1996E">
            <w:pPr>
              <w:widowControl/>
              <w:jc w:val="center"/>
              <w:rPr>
                <w:rFonts w:ascii="宋体" w:hAnsi="宋体" w:cs="宋体"/>
                <w:color w:val="000000" w:themeColor="text1"/>
                <w:sz w:val="24"/>
                <w:szCs w:val="24"/>
                <w:highlight w:val="none"/>
                <w14:textFill>
                  <w14:solidFill>
                    <w14:schemeClr w14:val="tx1"/>
                  </w14:solidFill>
                </w14:textFill>
              </w:rPr>
            </w:pPr>
          </w:p>
        </w:tc>
      </w:tr>
      <w:tr w14:paraId="269E4B44">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2DC70C5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5C8B823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喊话器</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354D479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34A4AB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375250B5">
            <w:pPr>
              <w:widowControl/>
              <w:jc w:val="center"/>
              <w:rPr>
                <w:rFonts w:ascii="宋体" w:hAnsi="宋体" w:cs="宋体"/>
                <w:color w:val="000000" w:themeColor="text1"/>
                <w:sz w:val="24"/>
                <w:szCs w:val="24"/>
                <w:highlight w:val="none"/>
                <w14:textFill>
                  <w14:solidFill>
                    <w14:schemeClr w14:val="tx1"/>
                  </w14:solidFill>
                </w14:textFill>
              </w:rPr>
            </w:pPr>
          </w:p>
        </w:tc>
      </w:tr>
      <w:tr w14:paraId="2EFC3D74">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59110B5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4A553B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探照灯</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76DA3DB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31ACC3A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950030F">
            <w:pPr>
              <w:widowControl/>
              <w:jc w:val="center"/>
              <w:rPr>
                <w:rFonts w:ascii="宋体" w:hAnsi="宋体" w:cs="宋体"/>
                <w:color w:val="000000" w:themeColor="text1"/>
                <w:sz w:val="24"/>
                <w:szCs w:val="24"/>
                <w:highlight w:val="none"/>
                <w14:textFill>
                  <w14:solidFill>
                    <w14:schemeClr w14:val="tx1"/>
                  </w14:solidFill>
                </w14:textFill>
              </w:rPr>
            </w:pPr>
          </w:p>
        </w:tc>
      </w:tr>
      <w:tr w14:paraId="63ACCBAF">
        <w:tblPrEx>
          <w:tblCellMar>
            <w:top w:w="0" w:type="dxa"/>
            <w:left w:w="108" w:type="dxa"/>
            <w:bottom w:w="0" w:type="dxa"/>
            <w:right w:w="108" w:type="dxa"/>
          </w:tblCellMar>
        </w:tblPrEx>
        <w:trPr>
          <w:trHeight w:val="301"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32F17D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w:t>
            </w:r>
          </w:p>
        </w:tc>
        <w:tc>
          <w:tcPr>
            <w:tcW w:w="9179" w:type="dxa"/>
            <w:gridSpan w:val="4"/>
            <w:tcBorders>
              <w:top w:val="single" w:color="000000" w:sz="4" w:space="0"/>
              <w:left w:val="single" w:color="000000" w:sz="4" w:space="0"/>
              <w:bottom w:val="single" w:color="000000" w:sz="4" w:space="0"/>
              <w:right w:val="single" w:color="000000" w:sz="4" w:space="0"/>
            </w:tcBorders>
            <w:noWrap w:val="0"/>
            <w:vAlign w:val="center"/>
          </w:tcPr>
          <w:p w14:paraId="7F0EA20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水质监测站</w:t>
            </w:r>
          </w:p>
        </w:tc>
      </w:tr>
      <w:tr w14:paraId="5CC37BA6">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1CF703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79F0CCA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监测站房</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7F0095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个</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9E4F08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4FD9CC9B">
            <w:pPr>
              <w:widowControl/>
              <w:jc w:val="center"/>
              <w:rPr>
                <w:rFonts w:ascii="宋体" w:hAnsi="宋体" w:cs="宋体"/>
                <w:color w:val="000000" w:themeColor="text1"/>
                <w:sz w:val="24"/>
                <w:szCs w:val="24"/>
                <w:highlight w:val="none"/>
                <w14:textFill>
                  <w14:solidFill>
                    <w14:schemeClr w14:val="tx1"/>
                  </w14:solidFill>
                </w14:textFill>
              </w:rPr>
            </w:pPr>
          </w:p>
        </w:tc>
      </w:tr>
      <w:tr w14:paraId="4F25BA4E">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29A571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3A09D4E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水样预处理装置设备</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99C2A5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3223FA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1F3590D">
            <w:pPr>
              <w:widowControl/>
              <w:jc w:val="center"/>
              <w:rPr>
                <w:rFonts w:ascii="宋体" w:hAnsi="宋体" w:cs="宋体"/>
                <w:color w:val="000000" w:themeColor="text1"/>
                <w:sz w:val="24"/>
                <w:szCs w:val="24"/>
                <w:highlight w:val="none"/>
                <w14:textFill>
                  <w14:solidFill>
                    <w14:schemeClr w14:val="tx1"/>
                  </w14:solidFill>
                </w14:textFill>
              </w:rPr>
            </w:pPr>
          </w:p>
        </w:tc>
      </w:tr>
      <w:tr w14:paraId="1D24960F">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21ED76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7B22AE4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配水装置设备</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5E4C6CB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F99617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35F17F35">
            <w:pPr>
              <w:widowControl/>
              <w:jc w:val="center"/>
              <w:rPr>
                <w:rFonts w:ascii="宋体" w:hAnsi="宋体" w:cs="宋体"/>
                <w:color w:val="000000" w:themeColor="text1"/>
                <w:sz w:val="24"/>
                <w:szCs w:val="24"/>
                <w:highlight w:val="none"/>
                <w14:textFill>
                  <w14:solidFill>
                    <w14:schemeClr w14:val="tx1"/>
                  </w14:solidFill>
                </w14:textFill>
              </w:rPr>
            </w:pPr>
          </w:p>
        </w:tc>
      </w:tr>
      <w:tr w14:paraId="1ACDB65B">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48A445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4CDC971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控制单元设备</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03213A1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35EBC4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1B2A19E">
            <w:pPr>
              <w:widowControl/>
              <w:jc w:val="center"/>
              <w:rPr>
                <w:rFonts w:ascii="宋体" w:hAnsi="宋体" w:cs="宋体"/>
                <w:color w:val="000000" w:themeColor="text1"/>
                <w:sz w:val="24"/>
                <w:szCs w:val="24"/>
                <w:highlight w:val="none"/>
                <w14:textFill>
                  <w14:solidFill>
                    <w14:schemeClr w14:val="tx1"/>
                  </w14:solidFill>
                </w14:textFill>
              </w:rPr>
            </w:pPr>
          </w:p>
        </w:tc>
      </w:tr>
      <w:tr w14:paraId="0A44EC11">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66AD05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70CC33A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数据采集传输设备</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36E9B6A">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57CCF0E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AB3FD11">
            <w:pPr>
              <w:widowControl/>
              <w:jc w:val="center"/>
              <w:rPr>
                <w:rFonts w:ascii="宋体" w:hAnsi="宋体" w:cs="宋体"/>
                <w:color w:val="000000" w:themeColor="text1"/>
                <w:sz w:val="24"/>
                <w:szCs w:val="24"/>
                <w:highlight w:val="none"/>
                <w14:textFill>
                  <w14:solidFill>
                    <w14:schemeClr w14:val="tx1"/>
                  </w14:solidFill>
                </w14:textFill>
              </w:rPr>
            </w:pPr>
          </w:p>
        </w:tc>
      </w:tr>
      <w:tr w14:paraId="280E8BEC">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6E2ECD5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3C63E945">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环境集成配套设备</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71D5BE9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7020089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6415A298">
            <w:pPr>
              <w:widowControl/>
              <w:jc w:val="center"/>
              <w:rPr>
                <w:rFonts w:ascii="宋体" w:hAnsi="宋体" w:cs="宋体"/>
                <w:color w:val="000000" w:themeColor="text1"/>
                <w:sz w:val="24"/>
                <w:szCs w:val="24"/>
                <w:highlight w:val="none"/>
                <w14:textFill>
                  <w14:solidFill>
                    <w14:schemeClr w14:val="tx1"/>
                  </w14:solidFill>
                </w14:textFill>
              </w:rPr>
            </w:pPr>
          </w:p>
        </w:tc>
      </w:tr>
      <w:tr w14:paraId="77509588">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63A529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78BF491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电力设施及监控设备</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2F0A950D">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0588893">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58C99C39">
            <w:pPr>
              <w:widowControl/>
              <w:jc w:val="center"/>
              <w:rPr>
                <w:rFonts w:ascii="宋体" w:hAnsi="宋体" w:cs="宋体"/>
                <w:color w:val="000000" w:themeColor="text1"/>
                <w:sz w:val="24"/>
                <w:szCs w:val="24"/>
                <w:highlight w:val="none"/>
                <w14:textFill>
                  <w14:solidFill>
                    <w14:schemeClr w14:val="tx1"/>
                  </w14:solidFill>
                </w14:textFill>
              </w:rPr>
            </w:pPr>
          </w:p>
        </w:tc>
      </w:tr>
      <w:tr w14:paraId="0D9E5817">
        <w:tblPrEx>
          <w:tblCellMar>
            <w:top w:w="0" w:type="dxa"/>
            <w:left w:w="108" w:type="dxa"/>
            <w:bottom w:w="0" w:type="dxa"/>
            <w:right w:w="108" w:type="dxa"/>
          </w:tblCellMar>
        </w:tblPrEx>
        <w:trPr>
          <w:trHeight w:val="592"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01DA767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B2C18E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雷达流速流量计</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01F35E8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72B7F0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5BAFA26">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仅西塘河站点加装1套雷达流速流量计</w:t>
            </w:r>
          </w:p>
        </w:tc>
      </w:tr>
      <w:tr w14:paraId="64ACDE30">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E23F74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EC831B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高锰酸盐指数在线监测仪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44FDFD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1530E13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17BA6F7A">
            <w:pPr>
              <w:widowControl/>
              <w:jc w:val="center"/>
              <w:rPr>
                <w:rFonts w:ascii="宋体" w:hAnsi="宋体" w:cs="宋体"/>
                <w:color w:val="000000" w:themeColor="text1"/>
                <w:sz w:val="24"/>
                <w:szCs w:val="24"/>
                <w:highlight w:val="none"/>
                <w14:textFill>
                  <w14:solidFill>
                    <w14:schemeClr w14:val="tx1"/>
                  </w14:solidFill>
                </w14:textFill>
              </w:rPr>
            </w:pPr>
          </w:p>
        </w:tc>
      </w:tr>
      <w:tr w14:paraId="75EC9A93">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5C74D421">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2F8C0F4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氨氮在线监测仪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F0C8D8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0B7721AB">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45D46DC5">
            <w:pPr>
              <w:widowControl/>
              <w:jc w:val="center"/>
              <w:rPr>
                <w:rFonts w:ascii="宋体" w:hAnsi="宋体" w:cs="宋体"/>
                <w:color w:val="000000" w:themeColor="text1"/>
                <w:sz w:val="24"/>
                <w:szCs w:val="24"/>
                <w:highlight w:val="none"/>
                <w14:textFill>
                  <w14:solidFill>
                    <w14:schemeClr w14:val="tx1"/>
                  </w14:solidFill>
                </w14:textFill>
              </w:rPr>
            </w:pPr>
          </w:p>
        </w:tc>
      </w:tr>
      <w:tr w14:paraId="6FA6FE5F">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142D2B1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2DEC94F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总磷在线监测仪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66DAD7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47035C7C">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49947F9">
            <w:pPr>
              <w:widowControl/>
              <w:jc w:val="center"/>
              <w:rPr>
                <w:rFonts w:ascii="宋体" w:hAnsi="宋体" w:cs="宋体"/>
                <w:color w:val="000000" w:themeColor="text1"/>
                <w:sz w:val="24"/>
                <w:szCs w:val="24"/>
                <w:highlight w:val="none"/>
                <w14:textFill>
                  <w14:solidFill>
                    <w14:schemeClr w14:val="tx1"/>
                  </w14:solidFill>
                </w14:textFill>
              </w:rPr>
            </w:pPr>
          </w:p>
        </w:tc>
      </w:tr>
      <w:tr w14:paraId="59A0F3CA">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37EDCC49">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0A4F005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总氮在线监测仪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315F4CDE">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60A5220">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C44E5E0">
            <w:pPr>
              <w:widowControl/>
              <w:jc w:val="center"/>
              <w:rPr>
                <w:rFonts w:ascii="宋体" w:hAnsi="宋体" w:cs="宋体"/>
                <w:color w:val="000000" w:themeColor="text1"/>
                <w:sz w:val="24"/>
                <w:szCs w:val="24"/>
                <w:highlight w:val="none"/>
                <w14:textFill>
                  <w14:solidFill>
                    <w14:schemeClr w14:val="tx1"/>
                  </w14:solidFill>
                </w14:textFill>
              </w:rPr>
            </w:pPr>
          </w:p>
        </w:tc>
      </w:tr>
      <w:tr w14:paraId="242AE1E3">
        <w:tblPrEx>
          <w:tblCellMar>
            <w:top w:w="0" w:type="dxa"/>
            <w:left w:w="108" w:type="dxa"/>
            <w:bottom w:w="0" w:type="dxa"/>
            <w:right w:w="108" w:type="dxa"/>
          </w:tblCellMar>
        </w:tblPrEx>
        <w:trPr>
          <w:trHeight w:val="600"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841AD0F">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2E0C5A17">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常规五参数分析仪</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112F345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27D5E38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0456FAA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西塘河站点仅更换五参数分析仪</w:t>
            </w:r>
          </w:p>
        </w:tc>
      </w:tr>
      <w:tr w14:paraId="161E8A75">
        <w:tblPrEx>
          <w:tblCellMar>
            <w:top w:w="0" w:type="dxa"/>
            <w:left w:w="108" w:type="dxa"/>
            <w:bottom w:w="0" w:type="dxa"/>
            <w:right w:w="108" w:type="dxa"/>
          </w:tblCellMar>
        </w:tblPrEx>
        <w:trPr>
          <w:trHeight w:val="328" w:hRule="atLeast"/>
        </w:trPr>
        <w:tc>
          <w:tcPr>
            <w:tcW w:w="1298" w:type="dxa"/>
            <w:tcBorders>
              <w:top w:val="single" w:color="000000" w:sz="4" w:space="0"/>
              <w:left w:val="single" w:color="000000" w:sz="4" w:space="0"/>
              <w:bottom w:val="single" w:color="000000" w:sz="4" w:space="0"/>
              <w:right w:val="single" w:color="000000" w:sz="4" w:space="0"/>
            </w:tcBorders>
            <w:noWrap w:val="0"/>
            <w:vAlign w:val="center"/>
          </w:tcPr>
          <w:p w14:paraId="46E3C642">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w:t>
            </w:r>
          </w:p>
        </w:tc>
        <w:tc>
          <w:tcPr>
            <w:tcW w:w="4312" w:type="dxa"/>
            <w:tcBorders>
              <w:top w:val="single" w:color="000000" w:sz="4" w:space="0"/>
              <w:left w:val="single" w:color="000000" w:sz="4" w:space="0"/>
              <w:bottom w:val="single" w:color="000000" w:sz="4" w:space="0"/>
              <w:right w:val="single" w:color="000000" w:sz="4" w:space="0"/>
            </w:tcBorders>
            <w:noWrap w:val="0"/>
            <w:vAlign w:val="center"/>
          </w:tcPr>
          <w:p w14:paraId="2F36F8A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蓝绿藻传感器</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6C20A7A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套</w:t>
            </w:r>
          </w:p>
        </w:tc>
        <w:tc>
          <w:tcPr>
            <w:tcW w:w="1102" w:type="dxa"/>
            <w:tcBorders>
              <w:top w:val="single" w:color="000000" w:sz="4" w:space="0"/>
              <w:left w:val="single" w:color="000000" w:sz="4" w:space="0"/>
              <w:bottom w:val="single" w:color="000000" w:sz="4" w:space="0"/>
              <w:right w:val="single" w:color="000000" w:sz="4" w:space="0"/>
            </w:tcBorders>
            <w:noWrap w:val="0"/>
            <w:vAlign w:val="center"/>
          </w:tcPr>
          <w:p w14:paraId="5DA961C8">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p>
        </w:tc>
        <w:tc>
          <w:tcPr>
            <w:tcW w:w="2641" w:type="dxa"/>
            <w:tcBorders>
              <w:top w:val="single" w:color="000000" w:sz="4" w:space="0"/>
              <w:left w:val="single" w:color="000000" w:sz="4" w:space="0"/>
              <w:bottom w:val="single" w:color="000000" w:sz="4" w:space="0"/>
              <w:right w:val="single" w:color="000000" w:sz="4" w:space="0"/>
            </w:tcBorders>
            <w:noWrap w:val="0"/>
            <w:vAlign w:val="center"/>
          </w:tcPr>
          <w:p w14:paraId="2BB9A8C4">
            <w:pPr>
              <w:widowControl/>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分别在3个站点合设</w:t>
            </w:r>
          </w:p>
        </w:tc>
      </w:tr>
    </w:tbl>
    <w:p w14:paraId="7DAE290B">
      <w:pPr>
        <w:spacing w:line="440" w:lineRule="exact"/>
        <w:jc w:val="left"/>
        <w:rPr>
          <w:rFonts w:ascii="宋体" w:hAnsi="宋体" w:cs="宋体"/>
          <w:b/>
          <w:color w:val="000000" w:themeColor="text1"/>
          <w:sz w:val="24"/>
          <w:szCs w:val="24"/>
          <w:highlight w:val="none"/>
          <w:lang w:bidi="ar"/>
          <w14:textFill>
            <w14:solidFill>
              <w14:schemeClr w14:val="tx1"/>
            </w14:solidFill>
          </w14:textFill>
        </w:rPr>
      </w:pPr>
      <w:r>
        <w:rPr>
          <w:rFonts w:hint="eastAsia" w:ascii="宋体" w:hAnsi="宋体" w:cs="宋体"/>
          <w:b/>
          <w:color w:val="000000" w:themeColor="text1"/>
          <w:sz w:val="24"/>
          <w:szCs w:val="24"/>
          <w:highlight w:val="none"/>
          <w:lang w:val="zh-CN" w:bidi="ar"/>
          <w14:textFill>
            <w14:solidFill>
              <w14:schemeClr w14:val="tx1"/>
            </w14:solidFill>
          </w14:textFill>
        </w:rPr>
        <w:t>注：1、本项目施工图详见附件，施工图清单</w:t>
      </w:r>
      <w:r>
        <w:rPr>
          <w:rFonts w:hint="eastAsia" w:ascii="宋体" w:hAnsi="宋体" w:cs="宋体"/>
          <w:b/>
          <w:color w:val="000000" w:themeColor="text1"/>
          <w:sz w:val="24"/>
          <w:szCs w:val="24"/>
          <w:highlight w:val="none"/>
          <w:lang w:bidi="ar"/>
          <w14:textFill>
            <w14:solidFill>
              <w14:schemeClr w14:val="tx1"/>
            </w14:solidFill>
          </w14:textFill>
        </w:rPr>
        <w:t>参数</w:t>
      </w:r>
      <w:r>
        <w:rPr>
          <w:rFonts w:hint="eastAsia" w:ascii="宋体" w:hAnsi="宋体" w:cs="宋体"/>
          <w:b/>
          <w:color w:val="000000" w:themeColor="text1"/>
          <w:sz w:val="24"/>
          <w:szCs w:val="24"/>
          <w:highlight w:val="none"/>
          <w:lang w:val="zh-CN" w:bidi="ar"/>
          <w14:textFill>
            <w14:solidFill>
              <w14:schemeClr w14:val="tx1"/>
            </w14:solidFill>
          </w14:textFill>
        </w:rPr>
        <w:t>与招标文件</w:t>
      </w:r>
      <w:r>
        <w:rPr>
          <w:rFonts w:hint="eastAsia" w:ascii="宋体" w:hAnsi="宋体" w:cs="宋体"/>
          <w:b/>
          <w:color w:val="000000" w:themeColor="text1"/>
          <w:sz w:val="24"/>
          <w:szCs w:val="24"/>
          <w:highlight w:val="none"/>
          <w:lang w:bidi="ar"/>
          <w14:textFill>
            <w14:solidFill>
              <w14:schemeClr w14:val="tx1"/>
            </w14:solidFill>
          </w14:textFill>
        </w:rPr>
        <w:t>清单参数不一致的，以招标文件为准，</w:t>
      </w:r>
    </w:p>
    <w:p w14:paraId="7AD3CD2D">
      <w:pPr>
        <w:spacing w:line="440" w:lineRule="exact"/>
        <w:jc w:val="left"/>
        <w:rPr>
          <w:rFonts w:ascii="宋体" w:hAnsi="宋体" w:cs="宋体"/>
          <w:b/>
          <w:color w:val="000000" w:themeColor="text1"/>
          <w:sz w:val="24"/>
          <w:szCs w:val="24"/>
          <w:highlight w:val="none"/>
          <w:lang w:bidi="ar"/>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投标人按照招标文件内容要求进行报价。</w:t>
      </w:r>
    </w:p>
    <w:p w14:paraId="5949F682">
      <w:pPr>
        <w:spacing w:line="440" w:lineRule="exact"/>
        <w:ind w:firstLine="482"/>
        <w:jc w:val="left"/>
        <w:rPr>
          <w:rFonts w:ascii="宋体" w:hAnsi="宋体" w:cs="宋体"/>
          <w:b/>
          <w:color w:val="000000" w:themeColor="text1"/>
          <w:sz w:val="24"/>
          <w:szCs w:val="24"/>
          <w:highlight w:val="none"/>
          <w:lang w:val="zh-CN" w:bidi="ar"/>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2、本项目的核心产品为：高锰酸盐指数在线监测仪。</w:t>
      </w:r>
    </w:p>
    <w:p w14:paraId="1F5B6256">
      <w:pPr>
        <w:spacing w:line="440" w:lineRule="exact"/>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三、</w:t>
      </w:r>
      <w:bookmarkEnd w:id="252"/>
      <w:r>
        <w:rPr>
          <w:rFonts w:hint="eastAsia" w:ascii="Times New Roman" w:hAnsi="Times New Roman"/>
          <w:b/>
          <w:color w:val="000000" w:themeColor="text1"/>
          <w:sz w:val="28"/>
          <w:szCs w:val="28"/>
          <w:highlight w:val="none"/>
          <w:lang w:bidi="ar"/>
          <w14:textFill>
            <w14:solidFill>
              <w14:schemeClr w14:val="tx1"/>
            </w14:solidFill>
          </w14:textFill>
        </w:rPr>
        <w:t>技术性能参数要求：</w:t>
      </w:r>
    </w:p>
    <w:p w14:paraId="55BC4A65">
      <w:pPr>
        <w:keepNext/>
        <w:keepLines/>
        <w:spacing w:before="120" w:after="120" w:line="440" w:lineRule="exact"/>
        <w:jc w:val="center"/>
        <w:outlineLvl w:val="0"/>
        <w:rPr>
          <w:b/>
          <w:color w:val="000000" w:themeColor="text1"/>
          <w:sz w:val="48"/>
          <w:szCs w:val="48"/>
          <w:highlight w:val="none"/>
          <w14:textFill>
            <w14:solidFill>
              <w14:schemeClr w14:val="tx1"/>
            </w14:solidFill>
          </w14:textFill>
        </w:rPr>
      </w:pPr>
      <w:bookmarkStart w:id="253" w:name="_Toc24842"/>
      <w:bookmarkStart w:id="254" w:name="_Toc14564"/>
      <w:bookmarkStart w:id="255" w:name="_Toc2247"/>
      <w:r>
        <w:rPr>
          <w:rFonts w:hint="eastAsia" w:ascii="宋体" w:hAnsi="宋体"/>
          <w:b/>
          <w:color w:val="000000" w:themeColor="text1"/>
          <w:sz w:val="48"/>
          <w:szCs w:val="48"/>
          <w:highlight w:val="none"/>
          <w14:textFill>
            <w14:solidFill>
              <w14:schemeClr w14:val="tx1"/>
            </w14:solidFill>
          </w14:textFill>
        </w:rPr>
        <w:t>水位雨量站</w:t>
      </w:r>
      <w:bookmarkEnd w:id="253"/>
      <w:bookmarkEnd w:id="254"/>
      <w:bookmarkEnd w:id="255"/>
    </w:p>
    <w:p w14:paraId="0AF6CDFF">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56" w:name="_Toc12221"/>
      <w:bookmarkStart w:id="257" w:name="_Toc19445"/>
      <w:bookmarkStart w:id="258" w:name="_Toc16462"/>
      <w:r>
        <w:rPr>
          <w:rFonts w:hint="eastAsia" w:ascii="宋体" w:hAnsi="宋体" w:cs="宋体"/>
          <w:b/>
          <w:bCs/>
          <w:color w:val="000000" w:themeColor="text1"/>
          <w:sz w:val="32"/>
          <w:szCs w:val="32"/>
          <w:highlight w:val="none"/>
          <w14:textFill>
            <w14:solidFill>
              <w14:schemeClr w14:val="tx1"/>
            </w14:solidFill>
          </w14:textFill>
        </w:rPr>
        <w:t>一、雷达水位计</w:t>
      </w:r>
      <w:bookmarkEnd w:id="256"/>
      <w:bookmarkEnd w:id="257"/>
      <w:bookmarkEnd w:id="258"/>
    </w:p>
    <w:p w14:paraId="4BF9FE1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1、雷达测距量程：60或80GHZ，0~30m；精度：±2mm；</w:t>
      </w:r>
    </w:p>
    <w:p w14:paraId="566762A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2、工作电压：DC6~30V，平均功耗：≤6.6mAH；工作温度：0~60℃，储存温度：-40~80℃。</w:t>
      </w:r>
    </w:p>
    <w:p w14:paraId="04861570">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59" w:name="_Toc16279"/>
      <w:bookmarkStart w:id="260" w:name="_Toc4394"/>
      <w:bookmarkStart w:id="261" w:name="_Toc12641"/>
      <w:r>
        <w:rPr>
          <w:rFonts w:hint="eastAsia" w:ascii="宋体" w:hAnsi="宋体" w:cs="宋体"/>
          <w:b/>
          <w:bCs/>
          <w:color w:val="000000" w:themeColor="text1"/>
          <w:sz w:val="32"/>
          <w:szCs w:val="32"/>
          <w:highlight w:val="none"/>
          <w14:textFill>
            <w14:solidFill>
              <w14:schemeClr w14:val="tx1"/>
            </w14:solidFill>
          </w14:textFill>
        </w:rPr>
        <w:t>二、智能雨量测量仪</w:t>
      </w:r>
      <w:bookmarkEnd w:id="259"/>
      <w:bookmarkEnd w:id="260"/>
      <w:bookmarkEnd w:id="261"/>
    </w:p>
    <w:p w14:paraId="640170E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1、分辨力：0.5mm；工作温度：-10℃-50℃。</w:t>
      </w:r>
    </w:p>
    <w:p w14:paraId="48A83A9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2、最大降雨强度：4mm/min；翻斗计量误差：≤±2%；</w:t>
      </w:r>
    </w:p>
    <w:p w14:paraId="14AEA47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、雨量筒采用304不锈钢及以上材料，筒壁厚度1mm；</w:t>
      </w:r>
    </w:p>
    <w:p w14:paraId="1DFEDE51">
      <w:pPr>
        <w:spacing w:line="440" w:lineRule="exact"/>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、承雨口内径尺寸为φ200±0.6mm；承雨口刃口角度应在40°-45°范围内</w:t>
      </w:r>
      <w:r>
        <w:rPr>
          <w:rFonts w:hint="eastAsia" w:ascii="宋体" w:hAnsi="宋体" w:cs="宋体"/>
          <w:color w:val="000000" w:themeColor="text1"/>
          <w:sz w:val="24"/>
          <w:szCs w:val="24"/>
          <w:highlight w:val="none"/>
          <w:lang w:eastAsia="zh-CN"/>
          <w14:textFill>
            <w14:solidFill>
              <w14:schemeClr w14:val="tx1"/>
            </w14:solidFill>
          </w14:textFill>
        </w:rPr>
        <w:t>。</w:t>
      </w:r>
    </w:p>
    <w:p w14:paraId="41A7A01F">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62" w:name="_Toc8457"/>
      <w:bookmarkStart w:id="263" w:name="_Toc3292"/>
      <w:bookmarkStart w:id="264" w:name="_Toc13471"/>
      <w:r>
        <w:rPr>
          <w:rFonts w:hint="eastAsia" w:ascii="宋体" w:hAnsi="宋体" w:cs="宋体"/>
          <w:b/>
          <w:bCs/>
          <w:color w:val="000000" w:themeColor="text1"/>
          <w:sz w:val="32"/>
          <w:szCs w:val="32"/>
          <w:highlight w:val="none"/>
          <w14:textFill>
            <w14:solidFill>
              <w14:schemeClr w14:val="tx1"/>
            </w14:solidFill>
          </w14:textFill>
        </w:rPr>
        <w:t>三、RTU</w:t>
      </w:r>
      <w:bookmarkEnd w:id="262"/>
      <w:bookmarkEnd w:id="263"/>
      <w:bookmarkEnd w:id="264"/>
    </w:p>
    <w:p w14:paraId="3D0DD96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1、多参数数据采集功能，满足《水文监测数据通信规约》（SL 651-2014）；</w:t>
      </w:r>
    </w:p>
    <w:p w14:paraId="47F9E5C0">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2、支持 GPRS、CDMA 1X、中国电信 3G/4G、中国联通 3G/4G、中国移动3G/4G 等网络制式；3年主流运营商通讯，不少于100M/月。</w:t>
      </w:r>
    </w:p>
    <w:p w14:paraId="673FA0A2">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65" w:name="_Toc16167"/>
      <w:bookmarkStart w:id="266" w:name="_Toc24648"/>
      <w:bookmarkStart w:id="267" w:name="_Toc3892"/>
      <w:r>
        <w:rPr>
          <w:rFonts w:hint="eastAsia" w:ascii="宋体" w:hAnsi="宋体" w:cs="宋体"/>
          <w:b/>
          <w:bCs/>
          <w:color w:val="000000" w:themeColor="text1"/>
          <w:sz w:val="32"/>
          <w:szCs w:val="32"/>
          <w:highlight w:val="none"/>
          <w14:textFill>
            <w14:solidFill>
              <w14:schemeClr w14:val="tx1"/>
            </w14:solidFill>
          </w14:textFill>
        </w:rPr>
        <w:t>四、蓄电池</w:t>
      </w:r>
      <w:bookmarkEnd w:id="265"/>
      <w:bookmarkEnd w:id="266"/>
      <w:bookmarkEnd w:id="267"/>
    </w:p>
    <w:p w14:paraId="7021D04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1、额定电压：DC12V；额定容量60Ah；铁锂电池；化学状态：电离子；工作温度范围：-25℃～+65℃。</w:t>
      </w:r>
    </w:p>
    <w:p w14:paraId="45336E43">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68" w:name="_Toc32031"/>
      <w:bookmarkStart w:id="269" w:name="_Toc22830"/>
      <w:bookmarkStart w:id="270" w:name="_Toc22081"/>
      <w:bookmarkStart w:id="271" w:name="_Toc23419"/>
      <w:r>
        <w:rPr>
          <w:rFonts w:hint="eastAsia" w:ascii="宋体" w:hAnsi="宋体" w:cs="宋体"/>
          <w:b/>
          <w:bCs/>
          <w:color w:val="000000" w:themeColor="text1"/>
          <w:sz w:val="32"/>
          <w:szCs w:val="32"/>
          <w:highlight w:val="none"/>
          <w14:textFill>
            <w14:solidFill>
              <w14:schemeClr w14:val="tx1"/>
            </w14:solidFill>
          </w14:textFill>
        </w:rPr>
        <w:t>五、充电控制器</w:t>
      </w:r>
      <w:bookmarkEnd w:id="268"/>
      <w:bookmarkEnd w:id="269"/>
      <w:bookmarkEnd w:id="270"/>
      <w:bookmarkEnd w:id="271"/>
    </w:p>
    <w:p w14:paraId="75E9BF9F">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1、最大充电电流：10A，最大输出电流：10A；电池超压：12.6V；系统电压：12/24V自动识别；自损：≤14mA；工作温度范围：-20~55℃。</w:t>
      </w:r>
    </w:p>
    <w:p w14:paraId="5354B5EF">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72" w:name="_Toc6958"/>
      <w:bookmarkStart w:id="273" w:name="_Toc236"/>
      <w:bookmarkStart w:id="274" w:name="_Toc17614"/>
      <w:bookmarkStart w:id="275" w:name="_Toc1983"/>
      <w:r>
        <w:rPr>
          <w:rFonts w:hint="eastAsia" w:ascii="宋体" w:hAnsi="宋体" w:cs="宋体"/>
          <w:b/>
          <w:bCs/>
          <w:color w:val="000000" w:themeColor="text1"/>
          <w:sz w:val="32"/>
          <w:szCs w:val="32"/>
          <w:highlight w:val="none"/>
          <w14:textFill>
            <w14:solidFill>
              <w14:schemeClr w14:val="tx1"/>
            </w14:solidFill>
          </w14:textFill>
        </w:rPr>
        <w:t>六、太阳能板</w:t>
      </w:r>
      <w:bookmarkEnd w:id="272"/>
      <w:bookmarkEnd w:id="273"/>
      <w:bookmarkEnd w:id="274"/>
      <w:bookmarkEnd w:id="275"/>
    </w:p>
    <w:p w14:paraId="5EB3F0F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1、材料：单晶硅；封装形式：高透光钢化玻璃层压；太阳能板表面可以承受的最大压力：60m/s(200kg/sq.m)；太阳能板充电效率：≥19.5%；</w:t>
      </w:r>
    </w:p>
    <w:p w14:paraId="1A209CD0">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2、功率：120W，最大工作电压:≤18V；最大工作电流:≤6.65A；开路电压:≤21.2V；工作温度范围：-40℃～+85℃；</w:t>
      </w:r>
    </w:p>
    <w:p w14:paraId="69D5371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3、电池板故障或寿命期后有更换条件并且不影响设备结构。</w:t>
      </w:r>
    </w:p>
    <w:p w14:paraId="6FF8DB40">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76" w:name="_Toc5712"/>
      <w:bookmarkStart w:id="277" w:name="_Toc20110"/>
      <w:bookmarkStart w:id="278" w:name="_Toc8730"/>
      <w:bookmarkStart w:id="279" w:name="_Toc8217"/>
      <w:r>
        <w:rPr>
          <w:rFonts w:hint="eastAsia" w:ascii="宋体" w:hAnsi="宋体" w:cs="宋体"/>
          <w:b/>
          <w:bCs/>
          <w:color w:val="000000" w:themeColor="text1"/>
          <w:sz w:val="32"/>
          <w:szCs w:val="32"/>
          <w:highlight w:val="none"/>
          <w14:textFill>
            <w14:solidFill>
              <w14:schemeClr w14:val="tx1"/>
            </w14:solidFill>
          </w14:textFill>
        </w:rPr>
        <w:t>七、设备箱</w:t>
      </w:r>
      <w:bookmarkEnd w:id="276"/>
      <w:bookmarkEnd w:id="277"/>
      <w:bookmarkEnd w:id="278"/>
      <w:bookmarkEnd w:id="279"/>
    </w:p>
    <w:p w14:paraId="101E06C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1、设备箱参考尺寸：380mm（长）×250.50 mm（深）×525 mm（高）；</w:t>
      </w:r>
    </w:p>
    <w:p w14:paraId="6C4DE1D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防雨、防虫、散热；开关电源、空开、漏电保护器，喷涂（防锈）处理；设备箱在露天能经受雨水，电气和设备不会因为漏雨水造成短路；箱体进出线口需带防水锁扣，箱体应该有防盗措施；设备箱内布走线槽、防雷接地柱1个、5孔接地铜牌1个、空气开关1个；</w:t>
      </w:r>
    </w:p>
    <w:p w14:paraId="6A9FEE9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3、设备箱相关文字标示应采用激光刻字，“防汛设施  严禁破坏”（红色）；水利图标（蓝色）；“XXX水务局  值班电话：xxxxxx”（黑色）</w:t>
      </w:r>
      <w:bookmarkStart w:id="280" w:name="_Toc19819"/>
      <w:bookmarkStart w:id="281" w:name="_Toc25219"/>
      <w:bookmarkStart w:id="282" w:name="_Toc6346"/>
      <w:r>
        <w:rPr>
          <w:rFonts w:hint="eastAsia" w:ascii="宋体" w:hAnsi="宋体" w:cs="宋体"/>
          <w:color w:val="000000" w:themeColor="text1"/>
          <w:sz w:val="24"/>
          <w:szCs w:val="24"/>
          <w:highlight w:val="none"/>
          <w14:textFill>
            <w14:solidFill>
              <w14:schemeClr w14:val="tx1"/>
            </w14:solidFill>
          </w14:textFill>
        </w:rPr>
        <w:t>。</w:t>
      </w:r>
    </w:p>
    <w:p w14:paraId="2DD1FC19">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83" w:name="_Toc20047"/>
      <w:r>
        <w:rPr>
          <w:rFonts w:hint="eastAsia" w:ascii="宋体" w:hAnsi="宋体" w:cs="宋体"/>
          <w:b/>
          <w:bCs/>
          <w:color w:val="000000" w:themeColor="text1"/>
          <w:sz w:val="32"/>
          <w:szCs w:val="32"/>
          <w:highlight w:val="none"/>
          <w14:textFill>
            <w14:solidFill>
              <w14:schemeClr w14:val="tx1"/>
            </w14:solidFill>
          </w14:textFill>
        </w:rPr>
        <w:t>八、立杆及支架</w:t>
      </w:r>
      <w:bookmarkEnd w:id="280"/>
      <w:bookmarkEnd w:id="281"/>
      <w:bookmarkEnd w:id="282"/>
      <w:bookmarkEnd w:id="283"/>
    </w:p>
    <w:p w14:paraId="6BB3142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规格：标配无缝对接3M立杆，避雷针，下部外径110mm，上部外径79mm，2mm厚度；材质：热镀锌管；立杆热镀锌层厚度加厚；辅材：连接设备和箱体的辅材，如螺丝、螺帽为不锈钢材料，配套电缆、线槽、膨胀螺栓。</w:t>
      </w:r>
    </w:p>
    <w:p w14:paraId="70D73590">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84" w:name="_Toc12753"/>
      <w:r>
        <w:rPr>
          <w:rFonts w:hint="eastAsia" w:ascii="宋体" w:hAnsi="宋体" w:cs="宋体"/>
          <w:b/>
          <w:bCs/>
          <w:color w:val="000000" w:themeColor="text1"/>
          <w:sz w:val="32"/>
          <w:szCs w:val="32"/>
          <w:highlight w:val="none"/>
          <w14:textFill>
            <w14:solidFill>
              <w14:schemeClr w14:val="tx1"/>
            </w14:solidFill>
          </w14:textFill>
        </w:rPr>
        <w:t>九、水尺</w:t>
      </w:r>
      <w:bookmarkEnd w:id="284"/>
    </w:p>
    <w:p w14:paraId="2DDEB1F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1、材质：不锈钢；规格：8CM宽*1M长；平板式，耐腐蚀，不易生锈。</w:t>
      </w:r>
    </w:p>
    <w:p w14:paraId="530C1FD1">
      <w:pPr>
        <w:keepNext/>
        <w:keepLines/>
        <w:spacing w:line="440" w:lineRule="exact"/>
        <w:jc w:val="center"/>
        <w:outlineLvl w:val="0"/>
        <w:rPr>
          <w:rFonts w:ascii="宋体" w:hAnsi="宋体" w:cs="宋体"/>
          <w:b/>
          <w:color w:val="000000" w:themeColor="text1"/>
          <w:sz w:val="48"/>
          <w:szCs w:val="48"/>
          <w:highlight w:val="none"/>
          <w14:textFill>
            <w14:solidFill>
              <w14:schemeClr w14:val="tx1"/>
            </w14:solidFill>
          </w14:textFill>
        </w:rPr>
      </w:pPr>
      <w:bookmarkStart w:id="285" w:name="_Toc3522"/>
      <w:bookmarkStart w:id="286" w:name="_Toc30022"/>
      <w:bookmarkStart w:id="287" w:name="_Toc272"/>
      <w:r>
        <w:rPr>
          <w:rFonts w:hint="eastAsia" w:ascii="宋体" w:hAnsi="宋体" w:cs="宋体"/>
          <w:b/>
          <w:color w:val="000000" w:themeColor="text1"/>
          <w:sz w:val="48"/>
          <w:szCs w:val="48"/>
          <w:highlight w:val="none"/>
          <w14:textFill>
            <w14:solidFill>
              <w14:schemeClr w14:val="tx1"/>
            </w14:solidFill>
          </w14:textFill>
        </w:rPr>
        <w:t>流量站</w:t>
      </w:r>
      <w:bookmarkEnd w:id="285"/>
      <w:bookmarkEnd w:id="286"/>
      <w:bookmarkEnd w:id="287"/>
    </w:p>
    <w:p w14:paraId="54F11CDE">
      <w:pPr>
        <w:keepNext/>
        <w:keepLines/>
        <w:numPr>
          <w:ilvl w:val="0"/>
          <w:numId w:val="5"/>
        </w:numPr>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88" w:name="_Toc550"/>
      <w:bookmarkStart w:id="289" w:name="_Toc32159"/>
      <w:bookmarkStart w:id="290" w:name="_Toc6511"/>
      <w:r>
        <w:rPr>
          <w:rFonts w:hint="eastAsia" w:ascii="宋体" w:hAnsi="宋体" w:cs="宋体"/>
          <w:b/>
          <w:bCs/>
          <w:color w:val="000000" w:themeColor="text1"/>
          <w:sz w:val="32"/>
          <w:szCs w:val="32"/>
          <w:highlight w:val="none"/>
          <w14:textFill>
            <w14:solidFill>
              <w14:schemeClr w14:val="tx1"/>
            </w14:solidFill>
          </w14:textFill>
        </w:rPr>
        <w:t>H-ADCP</w:t>
      </w:r>
      <w:bookmarkEnd w:id="288"/>
      <w:bookmarkEnd w:id="289"/>
      <w:bookmarkEnd w:id="290"/>
    </w:p>
    <w:p w14:paraId="046D4BF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1、频率：600KHz；最小单元尺寸：0.5m；测量范围：≥100m；盲区：0.25m；精度：0.5%±2.0mm/s；最大流速：+20m/s；波束：双波束。</w:t>
      </w:r>
    </w:p>
    <w:p w14:paraId="5CAD97DF">
      <w:pPr>
        <w:keepNext/>
        <w:keepLines/>
        <w:numPr>
          <w:ilvl w:val="0"/>
          <w:numId w:val="5"/>
        </w:numPr>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91" w:name="_Toc9324"/>
      <w:bookmarkStart w:id="292" w:name="_Toc19041"/>
      <w:bookmarkStart w:id="293" w:name="_Toc9130"/>
      <w:r>
        <w:rPr>
          <w:rFonts w:hint="eastAsia" w:ascii="宋体" w:hAnsi="宋体" w:cs="宋体"/>
          <w:b/>
          <w:bCs/>
          <w:color w:val="000000" w:themeColor="text1"/>
          <w:sz w:val="32"/>
          <w:szCs w:val="32"/>
          <w:highlight w:val="none"/>
          <w14:textFill>
            <w14:solidFill>
              <w14:schemeClr w14:val="tx1"/>
            </w14:solidFill>
          </w14:textFill>
        </w:rPr>
        <w:t>雷达水位计</w:t>
      </w:r>
      <w:bookmarkEnd w:id="291"/>
      <w:bookmarkEnd w:id="292"/>
      <w:bookmarkEnd w:id="293"/>
    </w:p>
    <w:p w14:paraId="3F3CC16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1、测距精度：±2mm；分辨率：1mm；工作电压：DC6-30V；通讯方式：支持RS485接口，Modbus协议。</w:t>
      </w:r>
    </w:p>
    <w:p w14:paraId="2EC9EFA6">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94" w:name="_Toc28812"/>
      <w:bookmarkStart w:id="295" w:name="_Toc11078"/>
      <w:bookmarkStart w:id="296" w:name="_Toc6627"/>
      <w:r>
        <w:rPr>
          <w:rFonts w:hint="eastAsia" w:ascii="宋体" w:hAnsi="宋体" w:cs="宋体"/>
          <w:b/>
          <w:bCs/>
          <w:color w:val="000000" w:themeColor="text1"/>
          <w:sz w:val="32"/>
          <w:szCs w:val="32"/>
          <w:highlight w:val="none"/>
          <w14:textFill>
            <w14:solidFill>
              <w14:schemeClr w14:val="tx1"/>
            </w14:solidFill>
          </w14:textFill>
        </w:rPr>
        <w:t>三、遥测终端机</w:t>
      </w:r>
      <w:bookmarkEnd w:id="294"/>
      <w:bookmarkEnd w:id="295"/>
      <w:bookmarkEnd w:id="296"/>
    </w:p>
    <w:p w14:paraId="44AB601F">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支持传感器数据：支持雨量计、水位计、量水堰等数据采集、存储、阀值图像抓拍和短信报警及传输等功能；支持潮位、水位、流速、水质、水温、雨量、风速、风向等水文/水资源等异构数据的融合采集、存储、显示、控制、报警及传输；能够解析前端采集数据，具备阈值触发报警功能；</w:t>
      </w:r>
    </w:p>
    <w:p w14:paraId="13AD12CC">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采集通道可独立工作，某一通道损坏后，其他正常通道仍可正常工作；支持上下限报警：支持超上限和低下限报警，可单设某参数变化加报等；设备支持具有双LoRa采集数据模块；设备丢包率小于万分之一；</w:t>
      </w:r>
    </w:p>
    <w:p w14:paraId="1BC6031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2、支持多种接口：设备需提供RS232接口、RS485接口、雨量计接口、模拟量输入接口、开关量输入接口、开关量输出接口，继电器输出接口、以太网接口；</w:t>
      </w:r>
    </w:p>
    <w:p w14:paraId="16A388A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3、设备支持4G，以太网通信方式向中心站进行数据传输，成功率不低于95%，准确率不低于95%；3年主流运营商通讯，不少于100M/月；</w:t>
      </w:r>
    </w:p>
    <w:p w14:paraId="38201BD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4、支持本地存储卡、本地网络、远程客户端数据导出功能；提供不低于8MB的内部存储芯片；支持外部不少于8G存储卡数据存储。</w:t>
      </w:r>
    </w:p>
    <w:p w14:paraId="737726B4">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297" w:name="_Toc24359"/>
      <w:bookmarkStart w:id="298" w:name="_Toc18852"/>
      <w:bookmarkStart w:id="299" w:name="_Toc2983"/>
      <w:r>
        <w:rPr>
          <w:rFonts w:hint="eastAsia" w:ascii="宋体" w:hAnsi="宋体" w:cs="宋体"/>
          <w:b/>
          <w:bCs/>
          <w:color w:val="000000" w:themeColor="text1"/>
          <w:sz w:val="32"/>
          <w:szCs w:val="32"/>
          <w:highlight w:val="none"/>
          <w14:textFill>
            <w14:solidFill>
              <w14:schemeClr w14:val="tx1"/>
            </w14:solidFill>
          </w14:textFill>
        </w:rPr>
        <w:t>四、蓄电池</w:t>
      </w:r>
      <w:bookmarkEnd w:id="297"/>
      <w:bookmarkEnd w:id="298"/>
      <w:bookmarkEnd w:id="299"/>
    </w:p>
    <w:p w14:paraId="7198CCF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1、太阳能储能用阀控式免维护胶体蓄电池；单只蓄电池容量：12V200AH；防护等级：具有防水、防潮、防腐、保温隔热、通气等功能；防水外壳防护等级IP67；</w:t>
      </w:r>
    </w:p>
    <w:p w14:paraId="3BDDC4C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2、低温工作性能：-10条件下蓄电池充放电效率不低于65％；高温工作性能：40℃条件下蓄电池充放电效率不低于100％；设计浮充使用寿命（20℃）7~10年。</w:t>
      </w:r>
    </w:p>
    <w:p w14:paraId="15898BA0">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00" w:name="_Toc10167"/>
      <w:bookmarkStart w:id="301" w:name="_Toc5871"/>
      <w:bookmarkStart w:id="302" w:name="_Toc16256"/>
      <w:r>
        <w:rPr>
          <w:rFonts w:hint="eastAsia" w:ascii="宋体" w:hAnsi="宋体" w:cs="宋体"/>
          <w:b/>
          <w:bCs/>
          <w:color w:val="000000" w:themeColor="text1"/>
          <w:sz w:val="32"/>
          <w:szCs w:val="32"/>
          <w:highlight w:val="none"/>
          <w14:textFill>
            <w14:solidFill>
              <w14:schemeClr w14:val="tx1"/>
            </w14:solidFill>
          </w14:textFill>
        </w:rPr>
        <w:t>五、太阳能板</w:t>
      </w:r>
      <w:bookmarkEnd w:id="300"/>
      <w:bookmarkEnd w:id="301"/>
      <w:bookmarkEnd w:id="302"/>
    </w:p>
    <w:p w14:paraId="1C10FDA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1、功率：≥150W；太阳能板采用单晶硅太阳能组件。</w:t>
      </w:r>
    </w:p>
    <w:p w14:paraId="604652F1">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03" w:name="_Toc12285"/>
      <w:bookmarkStart w:id="304" w:name="_Toc11304"/>
      <w:bookmarkStart w:id="305" w:name="_Toc13625"/>
      <w:r>
        <w:rPr>
          <w:rFonts w:hint="eastAsia" w:ascii="宋体" w:hAnsi="宋体" w:cs="宋体"/>
          <w:b/>
          <w:bCs/>
          <w:color w:val="000000" w:themeColor="text1"/>
          <w:sz w:val="32"/>
          <w:szCs w:val="32"/>
          <w:highlight w:val="none"/>
          <w14:textFill>
            <w14:solidFill>
              <w14:schemeClr w14:val="tx1"/>
            </w14:solidFill>
          </w14:textFill>
        </w:rPr>
        <w:t>六、充电控制器</w:t>
      </w:r>
      <w:bookmarkEnd w:id="303"/>
      <w:bookmarkEnd w:id="304"/>
      <w:bookmarkEnd w:id="305"/>
    </w:p>
    <w:p w14:paraId="1E601D2A">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1、铅酸电池12V/24V系统电压自动识别，充电电流10A；具备多阶段PWM充电管理，可设置为开断式充电；内置反接保护，开路保护，高温保护，过流/短路保护，均为自恢复型，双MOS防倒灌电路；</w:t>
      </w:r>
    </w:p>
    <w:p w14:paraId="6989B35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2、空载损耗：控制器最大自身耗电不得超过其额定充电电流的1%；</w:t>
      </w:r>
    </w:p>
    <w:p w14:paraId="63BEF21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3、数字显示功能：控制器应具有光伏组件、蓄电池电压、电流等数字显示仪表显示系统工作状态功能，具有控制开启/关闭交流负载按键和设置按键，当出现故障时，应能显示相应图标。</w:t>
      </w:r>
    </w:p>
    <w:p w14:paraId="658D94AC">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06" w:name="_Toc9289"/>
      <w:bookmarkStart w:id="307" w:name="_Toc533"/>
      <w:bookmarkStart w:id="308" w:name="_Toc23086"/>
      <w:r>
        <w:rPr>
          <w:rFonts w:hint="eastAsia" w:ascii="宋体" w:hAnsi="宋体" w:cs="宋体"/>
          <w:b/>
          <w:bCs/>
          <w:color w:val="000000" w:themeColor="text1"/>
          <w:sz w:val="32"/>
          <w:szCs w:val="32"/>
          <w:highlight w:val="none"/>
          <w14:textFill>
            <w14:solidFill>
              <w14:schemeClr w14:val="tx1"/>
            </w14:solidFill>
          </w14:textFill>
        </w:rPr>
        <w:t>七、设备箱</w:t>
      </w:r>
      <w:bookmarkEnd w:id="306"/>
      <w:bookmarkEnd w:id="307"/>
      <w:bookmarkEnd w:id="308"/>
    </w:p>
    <w:p w14:paraId="3386489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1、设备箱尺寸大于等于600mm（长）×300 mm（深）×550 mm（高）；</w:t>
      </w:r>
    </w:p>
    <w:p w14:paraId="422D65D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2、防雨、防虫、散热；开关电源、空开、漏电保护器，喷涂（防锈）处理；设备箱在露天能经受雨水，电气和设备不会因为漏雨水造成短路；箱体进出线口需带防水锁扣，箱体应该有防盗措施；</w:t>
      </w:r>
    </w:p>
    <w:p w14:paraId="51D3C7F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3、设备箱相关文字标示应采用激光刻字。“防汛设施  严禁破坏”（红色）；水利图标（蓝色）；“XXX水务局  值班电话：xxxxxx”（黑色）。</w:t>
      </w:r>
    </w:p>
    <w:p w14:paraId="28E73B93">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09" w:name="_Toc22711"/>
      <w:bookmarkStart w:id="310" w:name="_Toc18235"/>
      <w:bookmarkStart w:id="311" w:name="_Toc27426"/>
      <w:r>
        <w:rPr>
          <w:rFonts w:hint="eastAsia" w:ascii="宋体" w:hAnsi="宋体" w:cs="宋体"/>
          <w:b/>
          <w:bCs/>
          <w:color w:val="000000" w:themeColor="text1"/>
          <w:sz w:val="32"/>
          <w:szCs w:val="32"/>
          <w:highlight w:val="none"/>
          <w14:textFill>
            <w14:solidFill>
              <w14:schemeClr w14:val="tx1"/>
            </w14:solidFill>
          </w14:textFill>
        </w:rPr>
        <w:t>八、立杆及支架</w:t>
      </w:r>
      <w:bookmarkEnd w:id="309"/>
      <w:bookmarkEnd w:id="310"/>
      <w:bookmarkEnd w:id="311"/>
    </w:p>
    <w:p w14:paraId="1A9634E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1、规格：标配无缝对接3M立杆，避雷针，外径200mm，2mm厚度；材质：热镀锌管；立杆热镀锌层厚度加厚；辅材：连接设备和箱体的辅材如螺丝，螺帽为不锈钢材料，配套电缆、线槽、膨胀螺栓。</w:t>
      </w:r>
    </w:p>
    <w:p w14:paraId="338BA3D5">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12" w:name="_Toc10578"/>
      <w:bookmarkStart w:id="313" w:name="_Toc16381"/>
      <w:bookmarkStart w:id="314" w:name="_Toc16956"/>
      <w:r>
        <w:rPr>
          <w:rFonts w:hint="eastAsia" w:ascii="宋体" w:hAnsi="宋体" w:cs="宋体"/>
          <w:b/>
          <w:bCs/>
          <w:color w:val="000000" w:themeColor="text1"/>
          <w:sz w:val="32"/>
          <w:szCs w:val="32"/>
          <w:highlight w:val="none"/>
          <w14:textFill>
            <w14:solidFill>
              <w14:schemeClr w14:val="tx1"/>
            </w14:solidFill>
          </w14:textFill>
        </w:rPr>
        <w:t>九、H-ADCP安装支架</w:t>
      </w:r>
      <w:bookmarkEnd w:id="312"/>
      <w:bookmarkEnd w:id="313"/>
      <w:bookmarkEnd w:id="314"/>
    </w:p>
    <w:p w14:paraId="30B3CDD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1、可调节H-ADCP的测量位置；横向式ADCP在上下调节时，必须保证左右方向不变；水平倾角误差≤0.5°。</w:t>
      </w:r>
    </w:p>
    <w:p w14:paraId="640D2B89">
      <w:pPr>
        <w:keepNext/>
        <w:keepLines/>
        <w:spacing w:line="440" w:lineRule="exact"/>
        <w:jc w:val="center"/>
        <w:outlineLvl w:val="0"/>
        <w:rPr>
          <w:rFonts w:ascii="宋体" w:hAnsi="宋体" w:cs="宋体"/>
          <w:b/>
          <w:color w:val="000000" w:themeColor="text1"/>
          <w:sz w:val="48"/>
          <w:szCs w:val="48"/>
          <w:highlight w:val="none"/>
          <w14:textFill>
            <w14:solidFill>
              <w14:schemeClr w14:val="tx1"/>
            </w14:solidFill>
          </w14:textFill>
        </w:rPr>
      </w:pPr>
      <w:bookmarkStart w:id="315" w:name="_Toc4822"/>
      <w:bookmarkStart w:id="316" w:name="_Toc7031"/>
      <w:bookmarkStart w:id="317" w:name="_Toc17087"/>
      <w:r>
        <w:rPr>
          <w:rFonts w:hint="eastAsia" w:ascii="宋体" w:hAnsi="宋体" w:cs="宋体"/>
          <w:b/>
          <w:color w:val="000000" w:themeColor="text1"/>
          <w:sz w:val="48"/>
          <w:szCs w:val="48"/>
          <w:highlight w:val="none"/>
          <w14:textFill>
            <w14:solidFill>
              <w14:schemeClr w14:val="tx1"/>
            </w14:solidFill>
          </w14:textFill>
        </w:rPr>
        <w:t>闸门开度监测站</w:t>
      </w:r>
      <w:bookmarkEnd w:id="315"/>
      <w:bookmarkEnd w:id="316"/>
      <w:bookmarkEnd w:id="317"/>
    </w:p>
    <w:p w14:paraId="60971D03">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18" w:name="_Toc25022"/>
      <w:bookmarkStart w:id="319" w:name="_Toc20536"/>
      <w:bookmarkStart w:id="320" w:name="_Toc1205"/>
      <w:r>
        <w:rPr>
          <w:rFonts w:hint="eastAsia" w:ascii="宋体" w:hAnsi="宋体" w:cs="宋体"/>
          <w:b/>
          <w:bCs/>
          <w:color w:val="000000" w:themeColor="text1"/>
          <w:sz w:val="32"/>
          <w:szCs w:val="32"/>
          <w:highlight w:val="none"/>
          <w14:textFill>
            <w14:solidFill>
              <w14:schemeClr w14:val="tx1"/>
            </w14:solidFill>
          </w14:textFill>
        </w:rPr>
        <w:t>一、闸位计</w:t>
      </w:r>
      <w:bookmarkEnd w:id="318"/>
      <w:bookmarkEnd w:id="319"/>
      <w:bookmarkEnd w:id="320"/>
    </w:p>
    <w:p w14:paraId="634413B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1、测量范围：0-10m；分辨力：小于等于0.5cm；测量精度：±2cm或0.2%F•S；</w:t>
      </w:r>
    </w:p>
    <w:p w14:paraId="6976FC10">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2、输出码：格雷码10bit或RS485；RS485接口：MODBUS协议或其它；4～20mA模拟量信号输出；</w:t>
      </w:r>
    </w:p>
    <w:p w14:paraId="1FA5A0C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3、环境温度：-25℃～85℃；相对湿度：&lt;90%(40℃)；电源电压：12～24VDC。</w:t>
      </w:r>
    </w:p>
    <w:p w14:paraId="765F7C04">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21" w:name="_Toc14940"/>
      <w:bookmarkStart w:id="322" w:name="_Toc21267"/>
      <w:bookmarkStart w:id="323" w:name="_Toc13703"/>
      <w:r>
        <w:rPr>
          <w:rFonts w:hint="eastAsia" w:ascii="宋体" w:hAnsi="宋体" w:cs="宋体"/>
          <w:b/>
          <w:bCs/>
          <w:color w:val="000000" w:themeColor="text1"/>
          <w:sz w:val="32"/>
          <w:szCs w:val="32"/>
          <w:highlight w:val="none"/>
          <w14:textFill>
            <w14:solidFill>
              <w14:schemeClr w14:val="tx1"/>
            </w14:solidFill>
          </w14:textFill>
        </w:rPr>
        <w:t>二、遥测终端机</w:t>
      </w:r>
      <w:bookmarkEnd w:id="321"/>
      <w:bookmarkEnd w:id="322"/>
      <w:bookmarkEnd w:id="323"/>
    </w:p>
    <w:p w14:paraId="4FF957F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支持传感器数据：支持雨量计、水位计、量水堰等数据采集、存储、阀值图像抓拍和短信报警及传输等功能；支持潮位、水位、流速、水质、水温、雨量、风速、风向等水文/水资源等异构数据的融合采集、存储、显示、控制、报警及传输；能够解析前端采集数据，具备阈值触发报警功能；</w:t>
      </w:r>
    </w:p>
    <w:p w14:paraId="15389150">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采集通道可独立工作，某一通道损坏后，其他正常通道仍可正常工作；支持上下限报警：支持超上限和低下限报警，可单设某参数变化加报等；设备支持具有双LoRa采集数据模块；设备丢包率小于万分之一；</w:t>
      </w:r>
    </w:p>
    <w:p w14:paraId="1B990B9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2、支持多种接口：设备需提供RS232接口、RS485接口、雨量计接口、模拟量输入接口、开关量输入接口、开关量输出接口，继电器输出接口、以太网接口；</w:t>
      </w:r>
    </w:p>
    <w:p w14:paraId="36E12C1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3、设备支持4G，以太网通信方式向中心站进行数据传输，成功率不低于95%，准确率不低于95%；3年主流运营商通讯，不少于100M/月；</w:t>
      </w:r>
    </w:p>
    <w:p w14:paraId="3C8BAA2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4、支持本地存储卡、本地网络、远程客户端数据导出功能；提供不低于8MB的内部存储芯片；支持外部不少于8G存储卡数据存储。</w:t>
      </w:r>
    </w:p>
    <w:p w14:paraId="3923566E">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24" w:name="_Toc24347"/>
      <w:bookmarkStart w:id="325" w:name="_Toc19822"/>
      <w:bookmarkStart w:id="326" w:name="_Toc15203"/>
      <w:r>
        <w:rPr>
          <w:rFonts w:hint="eastAsia" w:ascii="宋体" w:hAnsi="宋体" w:cs="宋体"/>
          <w:b/>
          <w:bCs/>
          <w:color w:val="000000" w:themeColor="text1"/>
          <w:sz w:val="32"/>
          <w:szCs w:val="32"/>
          <w:highlight w:val="none"/>
          <w14:textFill>
            <w14:solidFill>
              <w14:schemeClr w14:val="tx1"/>
            </w14:solidFill>
          </w14:textFill>
        </w:rPr>
        <w:t>三、电源适配器</w:t>
      </w:r>
      <w:bookmarkEnd w:id="324"/>
      <w:bookmarkEnd w:id="325"/>
      <w:bookmarkEnd w:id="326"/>
    </w:p>
    <w:p w14:paraId="4B08442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1、输出电压(V)：12V；输出稳定度：≤1%；负载调整率：≤1%典型值；输出电压微调范围：±10%；纹波及噪声：≤1%峰值；</w:t>
      </w:r>
    </w:p>
    <w:p w14:paraId="2778BB8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2、过电压保护：110%-140%；过载保护：110%-150%；温度保护：100±5℃；输出回路数：单路输出；工作环境：-30℃~70℃。</w:t>
      </w:r>
    </w:p>
    <w:p w14:paraId="6EE8E486">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27" w:name="_Toc21866"/>
      <w:bookmarkStart w:id="328" w:name="_Toc13988"/>
      <w:bookmarkStart w:id="329" w:name="_Toc11142"/>
      <w:r>
        <w:rPr>
          <w:rFonts w:hint="eastAsia" w:ascii="宋体" w:hAnsi="宋体" w:cs="宋体"/>
          <w:b/>
          <w:bCs/>
          <w:color w:val="000000" w:themeColor="text1"/>
          <w:sz w:val="32"/>
          <w:szCs w:val="32"/>
          <w:highlight w:val="none"/>
          <w14:textFill>
            <w14:solidFill>
              <w14:schemeClr w14:val="tx1"/>
            </w14:solidFill>
          </w14:textFill>
        </w:rPr>
        <w:t>四、设备箱</w:t>
      </w:r>
      <w:bookmarkEnd w:id="327"/>
      <w:bookmarkEnd w:id="328"/>
      <w:bookmarkEnd w:id="329"/>
    </w:p>
    <w:p w14:paraId="4E5DF47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1、设备箱尺寸大于等于380mm（长）×250.50 mm（深）×525 mm（高）；</w:t>
      </w:r>
    </w:p>
    <w:p w14:paraId="5F508F7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2、防雨、防虫、散热；开关电源、空开、漏电保护器，喷涂（防锈）处理；设备箱在露天能经受雨水，电气和设备不会因为漏雨水造成短路；箱体进出线口需带防水锁扣，箱体应该有防盗措施；</w:t>
      </w:r>
    </w:p>
    <w:p w14:paraId="2EC9120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3、设备箱相关文字标示应采用激光刻字。“防汛设施  严禁破坏”（红色）；水利图标（蓝色）；“XXX水务局  值班电话：xxxxxx”（黑色）。</w:t>
      </w:r>
    </w:p>
    <w:p w14:paraId="3A2CF154">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30" w:name="_Toc26675"/>
      <w:bookmarkStart w:id="331" w:name="_Toc23222"/>
      <w:bookmarkStart w:id="332" w:name="_Toc13800"/>
      <w:r>
        <w:rPr>
          <w:rFonts w:hint="eastAsia" w:ascii="宋体" w:hAnsi="宋体" w:cs="宋体"/>
          <w:b/>
          <w:bCs/>
          <w:color w:val="000000" w:themeColor="text1"/>
          <w:sz w:val="32"/>
          <w:szCs w:val="32"/>
          <w:highlight w:val="none"/>
          <w14:textFill>
            <w14:solidFill>
              <w14:schemeClr w14:val="tx1"/>
            </w14:solidFill>
          </w14:textFill>
        </w:rPr>
        <w:t>五、闸位计支架</w:t>
      </w:r>
      <w:bookmarkEnd w:id="330"/>
      <w:bookmarkEnd w:id="331"/>
      <w:bookmarkEnd w:id="332"/>
    </w:p>
    <w:p w14:paraId="04780CD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1、根据现场启闭机类型进行定制；要求现场同齿轮、闸门开度高度一致。</w:t>
      </w:r>
    </w:p>
    <w:p w14:paraId="37B0E0AF">
      <w:pPr>
        <w:keepNext/>
        <w:keepLines/>
        <w:spacing w:line="440" w:lineRule="exact"/>
        <w:jc w:val="center"/>
        <w:outlineLvl w:val="0"/>
        <w:rPr>
          <w:rFonts w:ascii="宋体" w:hAnsi="宋体" w:cs="宋体"/>
          <w:b/>
          <w:color w:val="000000" w:themeColor="text1"/>
          <w:sz w:val="48"/>
          <w:szCs w:val="48"/>
          <w:highlight w:val="none"/>
          <w14:textFill>
            <w14:solidFill>
              <w14:schemeClr w14:val="tx1"/>
            </w14:solidFill>
          </w14:textFill>
        </w:rPr>
      </w:pPr>
      <w:bookmarkStart w:id="333" w:name="_Toc20130"/>
      <w:bookmarkStart w:id="334" w:name="_Toc11219"/>
      <w:bookmarkStart w:id="335" w:name="_Toc9875"/>
      <w:r>
        <w:rPr>
          <w:rFonts w:hint="eastAsia" w:ascii="宋体" w:hAnsi="宋体" w:cs="宋体"/>
          <w:b/>
          <w:color w:val="000000" w:themeColor="text1"/>
          <w:sz w:val="48"/>
          <w:szCs w:val="48"/>
          <w:highlight w:val="none"/>
          <w14:textFill>
            <w14:solidFill>
              <w14:schemeClr w14:val="tx1"/>
            </w14:solidFill>
          </w14:textFill>
        </w:rPr>
        <w:t>视频监测站</w:t>
      </w:r>
      <w:bookmarkEnd w:id="333"/>
      <w:bookmarkEnd w:id="334"/>
      <w:bookmarkEnd w:id="335"/>
    </w:p>
    <w:p w14:paraId="4DDA2FE3">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36" w:name="_Toc8685"/>
      <w:bookmarkStart w:id="337" w:name="_Toc2158"/>
      <w:bookmarkStart w:id="338" w:name="_Toc1167"/>
      <w:r>
        <w:rPr>
          <w:rFonts w:hint="eastAsia" w:ascii="宋体" w:hAnsi="宋体" w:cs="宋体"/>
          <w:b/>
          <w:bCs/>
          <w:color w:val="000000" w:themeColor="text1"/>
          <w:sz w:val="32"/>
          <w:szCs w:val="32"/>
          <w:highlight w:val="none"/>
          <w14:textFill>
            <w14:solidFill>
              <w14:schemeClr w14:val="tx1"/>
            </w14:solidFill>
          </w14:textFill>
        </w:rPr>
        <w:t>一、高清视频球机</w:t>
      </w:r>
      <w:bookmarkEnd w:id="336"/>
      <w:bookmarkEnd w:id="337"/>
      <w:bookmarkEnd w:id="338"/>
    </w:p>
    <w:p w14:paraId="497F61FB">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bookmarkStart w:id="339" w:name="_Toc27132"/>
      <w:bookmarkStart w:id="340" w:name="_Toc27765"/>
      <w:r>
        <w:rPr>
          <w:rFonts w:hint="eastAsia" w:ascii="宋体" w:hAnsi="宋体" w:cs="宋体"/>
          <w:color w:val="000000" w:themeColor="text1"/>
          <w:sz w:val="24"/>
          <w:szCs w:val="24"/>
          <w:highlight w:val="none"/>
          <w14:textFill>
            <w14:solidFill>
              <w14:schemeClr w14:val="tx1"/>
            </w14:solidFill>
          </w14:textFill>
        </w:rPr>
        <w:t>1、全景和细节均采用4</w:t>
      </w:r>
      <w:r>
        <w:rPr>
          <w:rFonts w:ascii="宋体" w:hAnsi="宋体" w:cs="宋体"/>
          <w:color w:val="000000" w:themeColor="text1"/>
          <w:sz w:val="24"/>
          <w:szCs w:val="24"/>
          <w:highlight w:val="none"/>
          <w14:textFill>
            <w14:solidFill>
              <w14:schemeClr w14:val="tx1"/>
            </w14:solidFill>
          </w14:textFill>
        </w:rPr>
        <w:t>00</w:t>
      </w:r>
      <w:r>
        <w:rPr>
          <w:rFonts w:hint="eastAsia" w:ascii="宋体" w:hAnsi="宋体" w:cs="宋体"/>
          <w:color w:val="000000" w:themeColor="text1"/>
          <w:sz w:val="24"/>
          <w:szCs w:val="24"/>
          <w:highlight w:val="none"/>
          <w14:textFill>
            <w14:solidFill>
              <w14:schemeClr w14:val="tx1"/>
            </w14:solidFill>
          </w14:textFill>
        </w:rPr>
        <w:t>万像素CMOS传感器，全景：1/1.8英寸CMOS；细节：1/2.8英寸CMOS传感器，镜头焦距满足</w:t>
      </w:r>
      <w:r>
        <w:rPr>
          <w:rFonts w:ascii="宋体" w:hAnsi="宋体" w:cs="宋体"/>
          <w:color w:val="000000" w:themeColor="text1"/>
          <w:sz w:val="24"/>
          <w:szCs w:val="24"/>
          <w:highlight w:val="none"/>
          <w14:textFill>
            <w14:solidFill>
              <w14:schemeClr w14:val="tx1"/>
            </w14:solidFill>
          </w14:textFill>
        </w:rPr>
        <w:t>全景：4mm</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细节：4.9mm～156mm</w:t>
      </w:r>
      <w:r>
        <w:rPr>
          <w:rFonts w:hint="eastAsia" w:ascii="宋体" w:hAnsi="宋体" w:cs="宋体"/>
          <w:color w:val="000000" w:themeColor="text1"/>
          <w:sz w:val="24"/>
          <w:szCs w:val="24"/>
          <w:highlight w:val="none"/>
          <w14:textFill>
            <w14:solidFill>
              <w14:schemeClr w14:val="tx1"/>
            </w14:solidFill>
          </w14:textFill>
        </w:rPr>
        <w:t>；</w:t>
      </w:r>
    </w:p>
    <w:p w14:paraId="5BE5BE8D">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全景路</w:t>
      </w:r>
      <w:r>
        <w:rPr>
          <w:rFonts w:hint="eastAsia" w:ascii="宋体" w:hAnsi="宋体" w:cs="宋体"/>
          <w:color w:val="000000" w:themeColor="text1"/>
          <w:sz w:val="24"/>
          <w:szCs w:val="24"/>
          <w:highlight w:val="none"/>
          <w14:textFill>
            <w14:solidFill>
              <w14:schemeClr w14:val="tx1"/>
            </w14:solidFill>
          </w14:textFill>
        </w:rPr>
        <w:t>最低照度：</w:t>
      </w:r>
      <w:r>
        <w:rPr>
          <w:rFonts w:ascii="宋体" w:hAnsi="宋体" w:cs="宋体"/>
          <w:color w:val="000000" w:themeColor="text1"/>
          <w:sz w:val="24"/>
          <w:szCs w:val="24"/>
          <w:highlight w:val="none"/>
          <w14:textFill>
            <w14:solidFill>
              <w14:schemeClr w14:val="tx1"/>
            </w14:solidFill>
          </w14:textFill>
        </w:rPr>
        <w:t>彩色：0.001lux@F1.0</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黑白：0.0001lux @F1.0</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细节路</w:t>
      </w:r>
      <w:r>
        <w:rPr>
          <w:rFonts w:hint="eastAsia" w:ascii="宋体" w:hAnsi="宋体" w:cs="宋体"/>
          <w:color w:val="000000" w:themeColor="text1"/>
          <w:sz w:val="24"/>
          <w:szCs w:val="24"/>
          <w:highlight w:val="none"/>
          <w14:textFill>
            <w14:solidFill>
              <w14:schemeClr w14:val="tx1"/>
            </w14:solidFill>
          </w14:textFill>
        </w:rPr>
        <w:t>最低照度：</w:t>
      </w:r>
      <w:r>
        <w:rPr>
          <w:rFonts w:ascii="宋体" w:hAnsi="宋体" w:cs="宋体"/>
          <w:color w:val="000000" w:themeColor="text1"/>
          <w:sz w:val="24"/>
          <w:szCs w:val="24"/>
          <w:highlight w:val="none"/>
          <w14:textFill>
            <w14:solidFill>
              <w14:schemeClr w14:val="tx1"/>
            </w14:solidFill>
          </w14:textFill>
        </w:rPr>
        <w:t>彩色：0.005lux@F1.3</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黑白：0.0005lux @F1.3  0lux（红外灯开启）</w:t>
      </w:r>
      <w:r>
        <w:rPr>
          <w:rFonts w:hint="eastAsia" w:ascii="宋体" w:hAnsi="宋体" w:cs="宋体"/>
          <w:color w:val="000000" w:themeColor="text1"/>
          <w:sz w:val="24"/>
          <w:szCs w:val="24"/>
          <w:highlight w:val="none"/>
          <w14:textFill>
            <w14:solidFill>
              <w14:schemeClr w14:val="tx1"/>
            </w14:solidFill>
          </w14:textFill>
        </w:rPr>
        <w:t>；</w:t>
      </w:r>
    </w:p>
    <w:p w14:paraId="1B771189">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、支持H.265、H.264、MJPEG视频编码格式，其中H.265和H.264都支持aseline/Main/High Profile；</w:t>
      </w:r>
    </w:p>
    <w:p w14:paraId="11C8EAE7">
      <w:pPr>
        <w:spacing w:line="360" w:lineRule="auto"/>
        <w:ind w:firstLine="48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、内置</w:t>
      </w:r>
      <w:r>
        <w:rPr>
          <w:rFonts w:ascii="宋体" w:hAnsi="宋体" w:cs="宋体"/>
          <w:color w:val="000000" w:themeColor="text1"/>
          <w:sz w:val="24"/>
          <w:szCs w:val="24"/>
          <w:highlight w:val="none"/>
          <w14:textFill>
            <w14:solidFill>
              <w14:schemeClr w14:val="tx1"/>
            </w14:solidFill>
          </w14:textFill>
        </w:rPr>
        <w:t>6颗红外和7颗白光，可控制补光灯类型并分别控制红外和白光灯亮度，开启白光等，可看清距样机200米数字（字体“宋体”、字号800、加粗），开启红外等，可看清距样机300米数字310米（字体“宋体”、字号800、加粗）</w:t>
      </w:r>
      <w:r>
        <w:rPr>
          <w:rFonts w:hint="eastAsia" w:ascii="宋体" w:hAnsi="宋体" w:cs="宋体"/>
          <w:b/>
          <w:bCs/>
          <w:color w:val="000000" w:themeColor="text1"/>
          <w:sz w:val="24"/>
          <w:szCs w:val="24"/>
          <w:highlight w:val="none"/>
          <w14:textFill>
            <w14:solidFill>
              <w14:schemeClr w14:val="tx1"/>
            </w14:solidFill>
          </w14:textFill>
        </w:rPr>
        <w:t>；</w:t>
      </w:r>
    </w:p>
    <w:p w14:paraId="428CCD92">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、支持绊线入侵、区域入侵、穿越围栏、徘徊、物品遗留、物品搬移、快速移动、停车、人员聚集检测；支持联动跟踪；</w:t>
      </w:r>
    </w:p>
    <w:p w14:paraId="1BED4051">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、水平方向360°连续旋转，垂直方向-20°～90°自动翻转180°后连续监视，无监视盲区。</w:t>
      </w:r>
    </w:p>
    <w:p w14:paraId="62AFFFE0">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、支持300个预置点，8条巡航路径，5条巡迹路径；</w:t>
      </w:r>
    </w:p>
    <w:p w14:paraId="0BCE54FD">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、支持电子透雾，雾天也能输出清晰、透彻的图像；支持陀螺仪防抖；支持北斗定位功能，精确显示球机经纬度信息；支持G-sensor功能，实时显示球机方位指向信息；</w:t>
      </w:r>
    </w:p>
    <w:p w14:paraId="55B1B2EC">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9</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内置2个RS485接口，支持接入太阳能电池系统、雨量传感器、水位传感器、流速传感器</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支持深休眠模式，在该模式下功耗≤0.1W，支持省电模式下，在该模式下功耗≤3.0W</w:t>
      </w:r>
      <w:r>
        <w:rPr>
          <w:rFonts w:hint="eastAsia" w:ascii="宋体" w:hAnsi="宋体" w:cs="宋体"/>
          <w:b/>
          <w:bCs/>
          <w:color w:val="000000" w:themeColor="text1"/>
          <w:sz w:val="24"/>
          <w:szCs w:val="24"/>
          <w:highlight w:val="none"/>
          <w14:textFill>
            <w14:solidFill>
              <w14:schemeClr w14:val="tx1"/>
            </w14:solidFill>
          </w14:textFill>
        </w:rPr>
        <w:t>；</w:t>
      </w:r>
    </w:p>
    <w:p w14:paraId="5A791BFB">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10</w:t>
      </w:r>
      <w:r>
        <w:rPr>
          <w:rFonts w:hint="eastAsia" w:ascii="宋体" w:hAnsi="宋体" w:cs="宋体"/>
          <w:color w:val="000000" w:themeColor="text1"/>
          <w:sz w:val="24"/>
          <w:szCs w:val="24"/>
          <w:highlight w:val="none"/>
          <w14:textFill>
            <w14:solidFill>
              <w14:schemeClr w14:val="tx1"/>
            </w14:solidFill>
          </w14:textFill>
        </w:rPr>
        <w:t>、具有实时低功耗模式，实时低功耗模式运行（补光灯关闭、雨刮未启动、运维未转动、持续录像）功耗≤3W，支持1秒1帧码流录像；在实时低功耗模式下，可在拌线入侵或区域入侵触发后0.1s内唤醒样机至常规性能模式</w:t>
      </w:r>
      <w:r>
        <w:rPr>
          <w:rFonts w:hint="eastAsia" w:ascii="宋体" w:hAnsi="宋体" w:cs="宋体"/>
          <w:b/>
          <w:bCs/>
          <w:color w:val="000000" w:themeColor="text1"/>
          <w:sz w:val="24"/>
          <w:szCs w:val="24"/>
          <w:highlight w:val="none"/>
          <w14:textFill>
            <w14:solidFill>
              <w14:schemeClr w14:val="tx1"/>
            </w14:solidFill>
          </w14:textFill>
        </w:rPr>
        <w:t>；</w:t>
      </w:r>
    </w:p>
    <w:p w14:paraId="6401D98C">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、支持1路音频输入和1路音频输出；内置2路报警输入和1路报警输出，支持报警联动功能；</w:t>
      </w:r>
    </w:p>
    <w:p w14:paraId="69CDAECA">
      <w:pPr>
        <w:spacing w:line="360" w:lineRule="auto"/>
        <w:ind w:firstLine="480"/>
        <w:jc w:val="lef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12</w:t>
      </w:r>
      <w:r>
        <w:rPr>
          <w:rFonts w:hint="eastAsia" w:ascii="宋体" w:hAnsi="宋体" w:cs="宋体"/>
          <w:color w:val="000000" w:themeColor="text1"/>
          <w:sz w:val="24"/>
          <w:szCs w:val="24"/>
          <w:highlight w:val="none"/>
          <w14:textFill>
            <w14:solidFill>
              <w14:schemeClr w14:val="tx1"/>
            </w14:solidFill>
          </w14:textFill>
        </w:rPr>
        <w:t>、内置加热玻璃，支持加热除霜除雾；不低于IP67防护等级，TVS6000V防雷、防浪涌和防突波保护；</w:t>
      </w:r>
    </w:p>
    <w:p w14:paraId="6A0CBDB1">
      <w:pPr>
        <w:pStyle w:val="24"/>
        <w:spacing w:after="0" w:line="440" w:lineRule="exact"/>
        <w:ind w:left="0" w:firstLine="48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13</w:t>
      </w:r>
      <w:r>
        <w:rPr>
          <w:rFonts w:hint="eastAsia" w:ascii="宋体" w:hAnsi="宋体" w:cs="宋体"/>
          <w:color w:val="000000" w:themeColor="text1"/>
          <w:sz w:val="24"/>
          <w:szCs w:val="24"/>
          <w:highlight w:val="none"/>
          <w14:textFill>
            <w14:solidFill>
              <w14:schemeClr w14:val="tx1"/>
            </w14:solidFill>
          </w14:textFill>
        </w:rPr>
        <w:t>、3年主流运营商通讯，有线网络，≥10M带宽。</w:t>
      </w:r>
    </w:p>
    <w:p w14:paraId="63262197">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41" w:name="_Toc31827"/>
      <w:r>
        <w:rPr>
          <w:rFonts w:hint="eastAsia" w:ascii="宋体" w:hAnsi="宋体" w:cs="宋体"/>
          <w:b/>
          <w:bCs/>
          <w:color w:val="000000" w:themeColor="text1"/>
          <w:sz w:val="32"/>
          <w:szCs w:val="32"/>
          <w:highlight w:val="none"/>
          <w14:textFill>
            <w14:solidFill>
              <w14:schemeClr w14:val="tx1"/>
            </w14:solidFill>
          </w14:textFill>
        </w:rPr>
        <w:t>二、防雷设备</w:t>
      </w:r>
      <w:bookmarkEnd w:id="339"/>
      <w:bookmarkEnd w:id="340"/>
      <w:bookmarkEnd w:id="341"/>
    </w:p>
    <w:p w14:paraId="2EAD6E6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1、采用国标千兆网络二合一导轨式防雷器，电源：SMT-RJ45/E1000-220；采用2.5平方以上多股铜线引下线与接地线相连接，打入地面深度大约在1米；</w:t>
      </w:r>
    </w:p>
    <w:p w14:paraId="258F29B9">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42" w:name="_Toc30487"/>
      <w:bookmarkStart w:id="343" w:name="_Toc27042"/>
      <w:bookmarkStart w:id="344" w:name="_Toc15050"/>
      <w:r>
        <w:rPr>
          <w:rFonts w:hint="eastAsia" w:ascii="宋体" w:hAnsi="宋体" w:cs="宋体"/>
          <w:b/>
          <w:bCs/>
          <w:color w:val="000000" w:themeColor="text1"/>
          <w:sz w:val="32"/>
          <w:szCs w:val="32"/>
          <w:highlight w:val="none"/>
          <w14:textFill>
            <w14:solidFill>
              <w14:schemeClr w14:val="tx1"/>
            </w14:solidFill>
          </w14:textFill>
        </w:rPr>
        <w:t>三、电源箱</w:t>
      </w:r>
      <w:bookmarkEnd w:id="342"/>
      <w:bookmarkEnd w:id="343"/>
      <w:bookmarkEnd w:id="344"/>
    </w:p>
    <w:p w14:paraId="160E311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1、采用户外不锈钢防水抱箍箱；防水抱箍箱尺寸大于等于 380 毫米（长）x250.50毫米(深)x525毫米(高)；防水抱箍箱箱面上可增加激光刻字。例如："本设备有电严禁破坏"(红色)等字样；</w:t>
      </w:r>
    </w:p>
    <w:p w14:paraId="170A432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2、防水抱箍箱安装在立杆支架离地面2,5-3米高度；防水抱箍箱内部走线槽。防雷接地柱1个、5孔接地铜牌1个、空气开关1个，防雷设备1个，插座设备1个。</w:t>
      </w:r>
    </w:p>
    <w:p w14:paraId="0206FDDC">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45" w:name="_Toc12848"/>
      <w:bookmarkStart w:id="346" w:name="_Toc7791"/>
      <w:bookmarkStart w:id="347" w:name="_Toc15694"/>
      <w:r>
        <w:rPr>
          <w:rFonts w:hint="eastAsia" w:ascii="宋体" w:hAnsi="宋体" w:cs="宋体"/>
          <w:b/>
          <w:bCs/>
          <w:color w:val="000000" w:themeColor="text1"/>
          <w:sz w:val="32"/>
          <w:szCs w:val="32"/>
          <w:highlight w:val="none"/>
          <w14:textFill>
            <w14:solidFill>
              <w14:schemeClr w14:val="tx1"/>
            </w14:solidFill>
          </w14:textFill>
        </w:rPr>
        <w:t>四、立杆支架</w:t>
      </w:r>
      <w:bookmarkEnd w:id="345"/>
      <w:bookmarkEnd w:id="346"/>
      <w:bookmarkEnd w:id="347"/>
    </w:p>
    <w:p w14:paraId="3757119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1、采用球机橫臂款立杆支架；规格：管内径 80-100mm,壁厚不小于2mm，露出地面高度不低于3.5米；材质：不锈钢热镀锌钢管，厚度加厚；辅材：采用螺丝，螺帽进行加固固定。</w:t>
      </w:r>
    </w:p>
    <w:p w14:paraId="38A1E2AD">
      <w:pPr>
        <w:pStyle w:val="24"/>
        <w:spacing w:after="0" w:line="440" w:lineRule="exact"/>
        <w:ind w:left="0" w:firstLine="420"/>
        <w:rPr>
          <w:rFonts w:ascii="宋体" w:hAnsi="宋体" w:cs="宋体"/>
          <w:strike/>
          <w:color w:val="000000" w:themeColor="text1"/>
          <w:highlight w:val="none"/>
          <w14:textFill>
            <w14:solidFill>
              <w14:schemeClr w14:val="tx1"/>
            </w14:solidFill>
          </w14:textFill>
        </w:rPr>
      </w:pPr>
      <w:r>
        <w:rPr>
          <w:rFonts w:hint="eastAsia" w:ascii="宋体" w:hAnsi="宋体" w:cs="宋体"/>
          <w:strike/>
          <w:color w:val="000000" w:themeColor="text1"/>
          <w:highlight w:val="none"/>
          <w14:textFill>
            <w14:solidFill>
              <w14:schemeClr w14:val="tx1"/>
            </w14:solidFill>
          </w14:textFill>
        </w:rPr>
        <w:t>‌</w:t>
      </w:r>
    </w:p>
    <w:p w14:paraId="765B7A00">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48" w:name="_Toc11893"/>
      <w:bookmarkStart w:id="349" w:name="_Toc17085"/>
      <w:bookmarkStart w:id="350" w:name="_Toc25302"/>
      <w:r>
        <w:rPr>
          <w:rFonts w:hint="eastAsia" w:ascii="宋体" w:hAnsi="宋体" w:cs="宋体"/>
          <w:b/>
          <w:bCs/>
          <w:color w:val="000000" w:themeColor="text1"/>
          <w:sz w:val="32"/>
          <w:szCs w:val="32"/>
          <w:highlight w:val="none"/>
          <w14:textFill>
            <w14:solidFill>
              <w14:schemeClr w14:val="tx1"/>
            </w14:solidFill>
          </w14:textFill>
        </w:rPr>
        <w:t>四、控制终端</w:t>
      </w:r>
      <w:bookmarkEnd w:id="348"/>
    </w:p>
    <w:p w14:paraId="650571A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1、处理器：4Core x86_64架构；图形运行单元：32 EU执行单元；运算单元：单卡结构 4TOPS 算力；视频编码：最大支持H.265/H.264 4K@30fps；视频解码：最大支持H.265/H.264 4K@60fps；IoT套件：支持远程运维、私有网络、定时任务、远程调度、消息下发。</w:t>
      </w:r>
    </w:p>
    <w:p w14:paraId="0F271E63">
      <w:pPr>
        <w:keepNext/>
        <w:keepLines/>
        <w:spacing w:before="120" w:after="120" w:line="440" w:lineRule="exact"/>
        <w:jc w:val="center"/>
        <w:outlineLvl w:val="0"/>
        <w:rPr>
          <w:rFonts w:ascii="宋体" w:hAnsi="宋体" w:cs="宋体"/>
          <w:b/>
          <w:color w:val="000000" w:themeColor="text1"/>
          <w:sz w:val="48"/>
          <w:szCs w:val="48"/>
          <w:highlight w:val="none"/>
          <w14:textFill>
            <w14:solidFill>
              <w14:schemeClr w14:val="tx1"/>
            </w14:solidFill>
          </w14:textFill>
        </w:rPr>
      </w:pPr>
      <w:bookmarkStart w:id="351" w:name="_Toc6553"/>
      <w:r>
        <w:rPr>
          <w:rFonts w:hint="eastAsia" w:ascii="宋体" w:hAnsi="宋体" w:cs="宋体"/>
          <w:b/>
          <w:color w:val="000000" w:themeColor="text1"/>
          <w:sz w:val="48"/>
          <w:szCs w:val="48"/>
          <w:highlight w:val="none"/>
          <w14:textFill>
            <w14:solidFill>
              <w14:schemeClr w14:val="tx1"/>
            </w14:solidFill>
          </w14:textFill>
        </w:rPr>
        <w:t>鸟类生物多样性监测站</w:t>
      </w:r>
      <w:bookmarkEnd w:id="349"/>
      <w:bookmarkEnd w:id="350"/>
      <w:bookmarkEnd w:id="351"/>
    </w:p>
    <w:p w14:paraId="755F5C0C">
      <w:pPr>
        <w:pStyle w:val="125"/>
        <w:keepNext/>
        <w:keepLines/>
        <w:spacing w:line="440" w:lineRule="exact"/>
        <w:ind w:left="660" w:hanging="660"/>
        <w:outlineLvl w:val="1"/>
        <w:rPr>
          <w:rFonts w:ascii="宋体" w:hAnsi="宋体" w:cs="宋体"/>
          <w:b/>
          <w:bCs/>
          <w:color w:val="000000" w:themeColor="text1"/>
          <w:sz w:val="32"/>
          <w:szCs w:val="32"/>
          <w:highlight w:val="none"/>
          <w14:textFill>
            <w14:solidFill>
              <w14:schemeClr w14:val="tx1"/>
            </w14:solidFill>
          </w14:textFill>
        </w:rPr>
      </w:pPr>
      <w:bookmarkStart w:id="352" w:name="_Toc4676"/>
      <w:bookmarkStart w:id="353" w:name="_Toc13288"/>
      <w:bookmarkStart w:id="354" w:name="_Toc13533"/>
      <w:bookmarkStart w:id="355" w:name="_Toc25171"/>
      <w:r>
        <w:rPr>
          <w:rFonts w:ascii="宋体" w:hAnsi="宋体" w:cs="宋体"/>
          <w:b/>
          <w:bCs/>
          <w:color w:val="000000" w:themeColor="text1"/>
          <w:sz w:val="32"/>
          <w:szCs w:val="32"/>
          <w:highlight w:val="none"/>
          <w14:textFill>
            <w14:solidFill>
              <w14:schemeClr w14:val="tx1"/>
            </w14:solidFill>
          </w14:textFill>
        </w:rPr>
        <w:t>一、</w:t>
      </w:r>
      <w:r>
        <w:rPr>
          <w:rFonts w:hint="eastAsia" w:ascii="宋体" w:hAnsi="宋体" w:cs="宋体"/>
          <w:b/>
          <w:bCs/>
          <w:color w:val="000000" w:themeColor="text1"/>
          <w:sz w:val="32"/>
          <w:szCs w:val="32"/>
          <w:highlight w:val="none"/>
          <w14:textFill>
            <w14:solidFill>
              <w14:schemeClr w14:val="tx1"/>
            </w14:solidFill>
          </w14:textFill>
        </w:rPr>
        <w:t>鸟类智能识别探头</w:t>
      </w:r>
      <w:bookmarkEnd w:id="352"/>
      <w:bookmarkEnd w:id="353"/>
      <w:bookmarkEnd w:id="354"/>
      <w:bookmarkEnd w:id="355"/>
    </w:p>
    <w:p w14:paraId="3B3742D5">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bookmarkStart w:id="356" w:name="_Toc5017"/>
      <w:r>
        <w:rPr>
          <w:rFonts w:hint="eastAsia" w:ascii="宋体" w:hAnsi="宋体" w:cs="宋体"/>
          <w:color w:val="000000" w:themeColor="text1"/>
          <w:sz w:val="24"/>
          <w:szCs w:val="24"/>
          <w:highlight w:val="none"/>
          <w14:textFill>
            <w14:solidFill>
              <w14:schemeClr w14:val="tx1"/>
            </w14:solidFill>
          </w14:textFill>
        </w:rPr>
        <w:t>1、采用800万像素1/1.8英寸CMOS 传感器, 最大分辨率不低于3840×2160内置GPU芯片，不低于40倍光学变倍；</w:t>
      </w:r>
    </w:p>
    <w:p w14:paraId="00F46F65">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2、最低照度满足：彩色≤0.0002Lux，黑白≤0.0001Lux；</w:t>
      </w:r>
    </w:p>
    <w:p w14:paraId="76134A3E">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3、内置250米红外灯补光，采用倍率与红外灯功率匹配算法，有效降低夜间车辆灯光的能量密度；</w:t>
      </w:r>
    </w:p>
    <w:p w14:paraId="6BF190E4">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4、设备可根据整幅视频画面中的亮度差异，将画面划分出不低于3个不同亮度的区域；</w:t>
      </w:r>
    </w:p>
    <w:p w14:paraId="395D6292">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5、支持H.265、H.264、MJPEG视频编码格式，其中H.265和H.264都支持aseline/Main/High Profile；</w:t>
      </w:r>
    </w:p>
    <w:p w14:paraId="660EA974">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6、水平方向360°连续旋转，垂直方向-30°～90°自动翻转180°后连续监视,无监视盲区；</w:t>
      </w:r>
    </w:p>
    <w:p w14:paraId="31351C75">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支持巡航计划配置，根据场景需求选择一种或两种智能模式，完成多场景巡航，实现一机多用；多场景分配不同智能后，可进行多场景智能巡航，进行不同智能功能的分时复用，切换码流可继续支持原来的智能，支持跟踪抓拍；</w:t>
      </w:r>
    </w:p>
    <w:p w14:paraId="65F59B44">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8、支持绊线入侵、区域入侵、穿越围栏、徘徊、物品遗留、物品搬移、快速移动、停车、人员聚集检测；支持行为分析触发后联动抓图、录像、报警上传、发送邮件、辅助输出等多种报警触发方式；</w:t>
      </w:r>
    </w:p>
    <w:p w14:paraId="7939DD9D">
      <w:pPr>
        <w:spacing w:line="440" w:lineRule="exact"/>
        <w:ind w:firstLine="48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9、具有偏移自动校正功能，当球机运动结束静止后，其水平和垂直角度方向受到外力作用发生偏移时，可通过IE 浏览器在监控画面上叠加OSD；报警信息并自动恢复到偏移前的位置，偏差应不大于0.01°</w:t>
      </w:r>
      <w:r>
        <w:rPr>
          <w:rFonts w:hint="eastAsia" w:ascii="宋体" w:hAnsi="宋体" w:cs="宋体"/>
          <w:color w:val="000000" w:themeColor="text1"/>
          <w:sz w:val="24"/>
          <w:szCs w:val="24"/>
          <w:highlight w:val="none"/>
          <w:lang w:eastAsia="zh-CN"/>
          <w14:textFill>
            <w14:solidFill>
              <w14:schemeClr w14:val="tx1"/>
            </w14:solidFill>
          </w14:textFill>
        </w:rPr>
        <w:t>；</w:t>
      </w:r>
    </w:p>
    <w:p w14:paraId="4675008F">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10、支持1路音频输入和1路音频输出，内置2路报警输入和1路报警输出，支持报警联动功能；</w:t>
      </w:r>
    </w:p>
    <w:p w14:paraId="2BF51E19">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11、不低于IP67防护等级，6000V防雷、防浪涌和防突波保护；</w:t>
      </w:r>
    </w:p>
    <w:p w14:paraId="5F66B1CA">
      <w:pPr>
        <w:spacing w:line="440" w:lineRule="exact"/>
        <w:ind w:firstLine="48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12、3年主流运营商通讯，有线网络，≥100M带宽。</w:t>
      </w:r>
    </w:p>
    <w:p w14:paraId="35EF003A">
      <w:pPr>
        <w:pStyle w:val="125"/>
        <w:keepNext/>
        <w:keepLines/>
        <w:spacing w:line="440" w:lineRule="exact"/>
        <w:ind w:left="660" w:hanging="660"/>
        <w:outlineLvl w:val="1"/>
        <w:rPr>
          <w:rFonts w:ascii="宋体" w:hAnsi="宋体" w:cs="宋体"/>
          <w:b/>
          <w:bCs/>
          <w:color w:val="000000" w:themeColor="text1"/>
          <w:sz w:val="32"/>
          <w:szCs w:val="32"/>
          <w:highlight w:val="none"/>
          <w14:textFill>
            <w14:solidFill>
              <w14:schemeClr w14:val="tx1"/>
            </w14:solidFill>
          </w14:textFill>
        </w:rPr>
      </w:pPr>
      <w:bookmarkStart w:id="357" w:name="_Toc22499"/>
      <w:r>
        <w:rPr>
          <w:rFonts w:hint="eastAsia" w:ascii="宋体" w:hAnsi="宋体" w:cs="宋体"/>
          <w:b/>
          <w:bCs/>
          <w:color w:val="000000" w:themeColor="text1"/>
          <w:sz w:val="32"/>
          <w:szCs w:val="32"/>
          <w:highlight w:val="none"/>
          <w14:textFill>
            <w14:solidFill>
              <w14:schemeClr w14:val="tx1"/>
            </w14:solidFill>
          </w14:textFill>
        </w:rPr>
        <w:t>二、鸟类鸣声监测设备</w:t>
      </w:r>
      <w:bookmarkEnd w:id="356"/>
      <w:bookmarkEnd w:id="357"/>
    </w:p>
    <w:p w14:paraId="00E20CCA">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拾音距离：支持采集直径100米范围内的鸟类声音信号；采集方式：支持自动采集周边环境声音；支持自动切片采集；支持有效鸟声支持自动降噪功能；支持的采样率(Hz)：32K、48K、96K、192K等；传声器灵敏度：≥-20dB (0dB=1V/pa@1kHz)；信噪比：≤70dB（A型加权网络）；动态量程：0dB增益时30dB - 100dB SPL；指向能力：全向；智能识别：支持智能识别500种鸟类鸣声；</w:t>
      </w:r>
    </w:p>
    <w:p w14:paraId="3DFE7EA0">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2、供电方式：支持太阳能供电持续续航、支持市电供电；</w:t>
      </w:r>
    </w:p>
    <w:p w14:paraId="4600FE8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3、数据管理：支持云端存储在线查询数据，支持远程设备管理。</w:t>
      </w:r>
    </w:p>
    <w:p w14:paraId="22C70DF8">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58" w:name="_Toc32104"/>
      <w:bookmarkStart w:id="359" w:name="_Toc9493"/>
      <w:bookmarkStart w:id="360" w:name="_Toc19017"/>
      <w:bookmarkStart w:id="361" w:name="_Toc12958"/>
      <w:r>
        <w:rPr>
          <w:rFonts w:hint="eastAsia" w:ascii="宋体" w:hAnsi="宋体" w:cs="宋体"/>
          <w:b/>
          <w:bCs/>
          <w:color w:val="000000" w:themeColor="text1"/>
          <w:sz w:val="32"/>
          <w:szCs w:val="32"/>
          <w:highlight w:val="none"/>
          <w14:textFill>
            <w14:solidFill>
              <w14:schemeClr w14:val="tx1"/>
            </w14:solidFill>
          </w14:textFill>
        </w:rPr>
        <w:t>三、可移动望远镜</w:t>
      </w:r>
      <w:bookmarkEnd w:id="358"/>
    </w:p>
    <w:p w14:paraId="25A9E86A">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1、放大倍率：不低于20倍；出瞳距离：18mm；防水防雾：户外防水；最近对焦距离：6m；光学脚架：最小高度不小于250mm。</w:t>
      </w:r>
    </w:p>
    <w:bookmarkEnd w:id="359"/>
    <w:bookmarkEnd w:id="360"/>
    <w:bookmarkEnd w:id="361"/>
    <w:p w14:paraId="47043AD9">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62" w:name="_Toc2237"/>
      <w:bookmarkStart w:id="363" w:name="_Toc29594"/>
      <w:bookmarkStart w:id="364" w:name="_Toc23021"/>
      <w:r>
        <w:rPr>
          <w:rFonts w:hint="eastAsia" w:ascii="宋体" w:hAnsi="宋体" w:cs="宋体"/>
          <w:b/>
          <w:bCs/>
          <w:color w:val="000000" w:themeColor="text1"/>
          <w:sz w:val="32"/>
          <w:szCs w:val="32"/>
          <w:highlight w:val="none"/>
          <w14:textFill>
            <w14:solidFill>
              <w14:schemeClr w14:val="tx1"/>
            </w14:solidFill>
          </w14:textFill>
        </w:rPr>
        <w:t>五、无人机</w:t>
      </w:r>
      <w:bookmarkEnd w:id="362"/>
      <w:bookmarkEnd w:id="363"/>
      <w:bookmarkEnd w:id="364"/>
    </w:p>
    <w:p w14:paraId="792D9D7F">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1、尺寸：参考折叠（带桨）：长 257毫米，宽 124毫米，高 106毫米；参考折叠（不带桨）：长 257 毫米，宽 124毫米，高 103 毫米；参考展开（不带桨）：长 328 毫米，宽 390毫米，高 135毫米；</w:t>
      </w:r>
    </w:p>
    <w:p w14:paraId="40AFF7C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2、最大上升速度：10 米/秒（运动挡）、6 米/秒（普通挡）、6 米/秒（平稳挡）；最大下降速度：10 米/秒（运动挡）6 米/秒（普通挡）6 米/秒（平稳挡）；最长飞行时间：≥51 分钟；最长悬停时间：≥45 分钟；最大续航里程：≥41 公里；最大抗风速度：≥12 米/秒；</w:t>
      </w:r>
    </w:p>
    <w:p w14:paraId="5C9F83C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3、卫星导航系统：GPS + Galileo + BeiDou；感知系统类型：支持全向双目视觉系统，辅以机身前视激光雷达和底部红外传感器；</w:t>
      </w:r>
    </w:p>
    <w:p w14:paraId="3494B6E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4、三维红外传感系统：前视激光雷达；测距范围：夜间 0.5 米至 25 米（反射率大于 10% ）；</w:t>
      </w:r>
    </w:p>
    <w:p w14:paraId="61FBC391">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视角（FOV）：上下 60°，左右 60°；下视红外测距传感器；测距范围：0.3 米至 8 米（反射率大于 10% ）；视角（FOV）：前后 60°，左右 60°</w:t>
      </w:r>
    </w:p>
    <w:p w14:paraId="738DFE4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5、图传最大信号有效距离（无干扰、无遮挡）；FCC：30 公里；CE：15 公里；SRRC：15 公里；</w:t>
      </w:r>
    </w:p>
    <w:p w14:paraId="054A3B94">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MIC：15 公里；</w:t>
      </w:r>
    </w:p>
    <w:p w14:paraId="64A6572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6、最大下载速率；O4+：10 MB/s*；Wi-Fi 6：80 MB/s*</w:t>
      </w:r>
    </w:p>
    <w:p w14:paraId="3048C73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7、中长焦相机：1/1.3 英寸 CMOS，有效像素 4800 万，长焦相机：1/1.5 英寸 CMOS，有效像素 5000 万；</w:t>
      </w:r>
    </w:p>
    <w:p w14:paraId="13F0F37F">
      <w:pPr>
        <w:keepNext/>
        <w:keepLines/>
        <w:spacing w:before="120" w:after="120" w:line="440" w:lineRule="exact"/>
        <w:jc w:val="center"/>
        <w:outlineLvl w:val="0"/>
        <w:rPr>
          <w:rFonts w:ascii="宋体" w:hAnsi="宋体" w:cs="宋体"/>
          <w:b/>
          <w:color w:val="000000" w:themeColor="text1"/>
          <w:sz w:val="48"/>
          <w:szCs w:val="48"/>
          <w:highlight w:val="none"/>
          <w14:textFill>
            <w14:solidFill>
              <w14:schemeClr w14:val="tx1"/>
            </w14:solidFill>
          </w14:textFill>
        </w:rPr>
      </w:pPr>
      <w:bookmarkStart w:id="365" w:name="_Toc28262"/>
      <w:bookmarkStart w:id="366" w:name="_Toc31631"/>
      <w:bookmarkStart w:id="367" w:name="_Toc32275"/>
      <w:r>
        <w:rPr>
          <w:rFonts w:hint="eastAsia" w:ascii="宋体" w:hAnsi="宋体" w:cs="宋体"/>
          <w:b/>
          <w:color w:val="000000" w:themeColor="text1"/>
          <w:sz w:val="48"/>
          <w:szCs w:val="48"/>
          <w:highlight w:val="none"/>
          <w14:textFill>
            <w14:solidFill>
              <w14:schemeClr w14:val="tx1"/>
            </w14:solidFill>
          </w14:textFill>
        </w:rPr>
        <w:t>无人机及机场</w:t>
      </w:r>
      <w:bookmarkEnd w:id="365"/>
      <w:bookmarkEnd w:id="366"/>
      <w:bookmarkEnd w:id="367"/>
    </w:p>
    <w:p w14:paraId="3D3DA39F">
      <w:pPr>
        <w:keepNext/>
        <w:keepLines/>
        <w:numPr>
          <w:ilvl w:val="0"/>
          <w:numId w:val="6"/>
        </w:numPr>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68" w:name="_Toc2453"/>
      <w:bookmarkStart w:id="369" w:name="_Toc11704"/>
      <w:bookmarkStart w:id="370" w:name="_Toc16815"/>
      <w:r>
        <w:rPr>
          <w:rFonts w:hint="eastAsia" w:ascii="宋体" w:hAnsi="宋体" w:cs="宋体"/>
          <w:b/>
          <w:bCs/>
          <w:color w:val="000000" w:themeColor="text1"/>
          <w:sz w:val="32"/>
          <w:szCs w:val="32"/>
          <w:highlight w:val="none"/>
          <w14:textFill>
            <w14:solidFill>
              <w14:schemeClr w14:val="tx1"/>
            </w14:solidFill>
          </w14:textFill>
        </w:rPr>
        <w:t>无人机场</w:t>
      </w:r>
      <w:bookmarkEnd w:id="368"/>
      <w:bookmarkEnd w:id="369"/>
      <w:bookmarkEnd w:id="370"/>
    </w:p>
    <w:p w14:paraId="3741E63A">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1、整机重量≤55kg；外形尺寸≤长650毫米，宽750毫米，高800毫米；内置风速传感器、雨量传感器、温度传感器、水浸传感器、舱内温度传感器、舱内湿度传感器；</w:t>
      </w:r>
    </w:p>
    <w:p w14:paraId="005310B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2、备用电池续航不少于4小时；</w:t>
      </w:r>
    </w:p>
    <w:p w14:paraId="4E0DC2D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3、下达任务后，需要15秒内起飞；设备最大允许降落风速不小于6级；</w:t>
      </w:r>
    </w:p>
    <w:p w14:paraId="243A115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4、支持使用手机APP对机场进行部署、调试；</w:t>
      </w:r>
    </w:p>
    <w:p w14:paraId="75A6FC2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5、3年主流运营商通讯，有线网络，≥20M带宽。</w:t>
      </w:r>
    </w:p>
    <w:p w14:paraId="7FD0EFD8">
      <w:pPr>
        <w:keepNext/>
        <w:keepLines/>
        <w:numPr>
          <w:ilvl w:val="0"/>
          <w:numId w:val="6"/>
        </w:numPr>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71" w:name="_Toc16486"/>
      <w:bookmarkStart w:id="372" w:name="_Toc12083"/>
      <w:bookmarkStart w:id="373" w:name="_Toc3871"/>
      <w:r>
        <w:rPr>
          <w:rFonts w:hint="eastAsia" w:ascii="宋体" w:hAnsi="宋体" w:cs="宋体"/>
          <w:b/>
          <w:bCs/>
          <w:color w:val="000000" w:themeColor="text1"/>
          <w:sz w:val="32"/>
          <w:szCs w:val="32"/>
          <w:highlight w:val="none"/>
          <w14:textFill>
            <w14:solidFill>
              <w14:schemeClr w14:val="tx1"/>
            </w14:solidFill>
          </w14:textFill>
        </w:rPr>
        <w:t>无人机</w:t>
      </w:r>
      <w:bookmarkEnd w:id="371"/>
      <w:bookmarkEnd w:id="372"/>
      <w:bookmarkEnd w:id="373"/>
    </w:p>
    <w:p w14:paraId="12227FC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1、对角线轴距≤500mm；防护等级≥IP55；RTK：集成在无人机上；</w:t>
      </w:r>
    </w:p>
    <w:p w14:paraId="5945F0F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2、最大信号有效距离（无干扰、无遮挡）≥25km；最长飞行时间≥54分钟；最大可抗风速≥12m/s；</w:t>
      </w:r>
    </w:p>
    <w:p w14:paraId="0C01E67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3、支持全向双目视觉避障系统，下方具备三维红外传感器，能够在探测到障碍物时在App上进行提醒，并自动减速刹车或绕行；</w:t>
      </w:r>
    </w:p>
    <w:p w14:paraId="50028E8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4、GNSS定位悬停精度：垂直≤0.5m，水平≤0.5m；RTK定位悬停精度：垂直≤0.1m，水平≤0.1m；视觉定位悬停精度：绝对值垂直≤0.1m，水平≤0.3m；</w:t>
      </w:r>
    </w:p>
    <w:p w14:paraId="7D41A81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具备广角相机，有效像素不低于4800万；具备中长焦相机，相机CMOS不低于1/1.3英寸，像素数不低于4800万；具备长焦相机，相机CMOS不低于1/1.5英寸、像素数不低于4800万；可见光相机变焦倍数不低于112倍；红外传感器分辨率≥640*512，超分模式≥1280*1024；</w:t>
      </w:r>
    </w:p>
    <w:p w14:paraId="20EBB52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具备三轴机械增稳云台（俯仰、横滚、平移）；支持航点、正射、倾斜、航带、仿地等多种航线作业类型；能够接收民航客机的ADS-B广播信息，并能过地面端软件向用户发出附近民航客机预警信息；地面站显示器应采用触摸屏，屏幕显示分辨率≥1920*1080p；</w:t>
      </w:r>
    </w:p>
    <w:p w14:paraId="6E4C5A3F">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7、支持全彩夜视、黑白夜视；支持同时挂载喊话器和探照灯。</w:t>
      </w:r>
    </w:p>
    <w:p w14:paraId="524E5686">
      <w:pPr>
        <w:keepNext/>
        <w:keepLines/>
        <w:numPr>
          <w:ilvl w:val="0"/>
          <w:numId w:val="6"/>
        </w:numPr>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74" w:name="_Toc11169"/>
      <w:bookmarkStart w:id="375" w:name="_Toc29363"/>
      <w:bookmarkStart w:id="376" w:name="_Toc9402"/>
      <w:r>
        <w:rPr>
          <w:rFonts w:hint="eastAsia" w:ascii="宋体" w:hAnsi="宋体" w:cs="宋体"/>
          <w:b/>
          <w:bCs/>
          <w:color w:val="000000" w:themeColor="text1"/>
          <w:sz w:val="32"/>
          <w:szCs w:val="32"/>
          <w:highlight w:val="none"/>
          <w14:textFill>
            <w14:solidFill>
              <w14:schemeClr w14:val="tx1"/>
            </w14:solidFill>
          </w14:textFill>
        </w:rPr>
        <w:t>遥控器</w:t>
      </w:r>
      <w:bookmarkEnd w:id="374"/>
      <w:bookmarkEnd w:id="375"/>
      <w:bookmarkEnd w:id="376"/>
    </w:p>
    <w:p w14:paraId="74228080">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1、OcuSync：工作频率：2.4000-2.4835GHz；5.150-5.250GHz；5.725-5.850 GHz；</w:t>
      </w:r>
    </w:p>
    <w:p w14:paraId="2A07D22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2、Wi-Fi：协议：802.11 a/b/g/n/ac/ax；工作频率：2.4000-2.4835 GHz；5.150-5.250 GHz；5.725-5.850 GHz；</w:t>
      </w:r>
    </w:p>
    <w:p w14:paraId="3592EAA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3、蓝牙：蓝牙5.2，工作频率：2.4000-2.4835 GHz；</w:t>
      </w:r>
    </w:p>
    <w:p w14:paraId="25B610A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4、通用：内置电池：锂离子电池（6500 毫安时 @7.2伏）；额定功耗：12.5瓦；GNSS：GPS+Galileo+BeiDou；视频输出接口：HDMI A 型；工作环境温度：-20℃至50℃；存放环境温度：-30℃至45℃（一个月内）；充电环境温度：5℃至40℃。</w:t>
      </w:r>
    </w:p>
    <w:p w14:paraId="37EA74D8">
      <w:pPr>
        <w:keepNext/>
        <w:keepLines/>
        <w:numPr>
          <w:ilvl w:val="0"/>
          <w:numId w:val="6"/>
        </w:numPr>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77" w:name="_Toc24791"/>
      <w:bookmarkStart w:id="378" w:name="_Toc143"/>
      <w:bookmarkStart w:id="379" w:name="_Toc22041"/>
      <w:r>
        <w:rPr>
          <w:rFonts w:hint="eastAsia" w:ascii="宋体" w:hAnsi="宋体" w:cs="宋体"/>
          <w:b/>
          <w:bCs/>
          <w:color w:val="000000" w:themeColor="text1"/>
          <w:sz w:val="32"/>
          <w:szCs w:val="32"/>
          <w:highlight w:val="none"/>
          <w14:textFill>
            <w14:solidFill>
              <w14:schemeClr w14:val="tx1"/>
            </w14:solidFill>
          </w14:textFill>
        </w:rPr>
        <w:t>图传模块</w:t>
      </w:r>
      <w:bookmarkEnd w:id="377"/>
      <w:bookmarkEnd w:id="378"/>
      <w:bookmarkEnd w:id="379"/>
    </w:p>
    <w:p w14:paraId="43A6652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1、在原有图传的基础上，与4G网络共同协作，如原有图传信号受遮挡或干扰，用户仍可借助4G网络操控无人机，降低断开连接的几率。支持接入4G网络。</w:t>
      </w:r>
    </w:p>
    <w:p w14:paraId="3945B045">
      <w:pPr>
        <w:keepNext/>
        <w:keepLines/>
        <w:numPr>
          <w:ilvl w:val="0"/>
          <w:numId w:val="6"/>
        </w:numPr>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80" w:name="_Toc11121"/>
      <w:bookmarkStart w:id="381" w:name="_Toc31894"/>
      <w:bookmarkStart w:id="382" w:name="_Toc26520"/>
      <w:r>
        <w:rPr>
          <w:rFonts w:hint="eastAsia" w:ascii="宋体" w:hAnsi="宋体" w:cs="宋体"/>
          <w:b/>
          <w:bCs/>
          <w:color w:val="000000" w:themeColor="text1"/>
          <w:sz w:val="32"/>
          <w:szCs w:val="32"/>
          <w:highlight w:val="none"/>
          <w14:textFill>
            <w14:solidFill>
              <w14:schemeClr w14:val="tx1"/>
            </w14:solidFill>
          </w14:textFill>
        </w:rPr>
        <w:t>喊话器</w:t>
      </w:r>
      <w:bookmarkEnd w:id="380"/>
      <w:bookmarkEnd w:id="381"/>
      <w:bookmarkEnd w:id="382"/>
    </w:p>
    <w:p w14:paraId="2C23896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1、喊话器音量在1米处可达114分贝，广播距离可达300米。支持录音喊话、媒体导入与文字转语音，支持实时喊话功能，并支持回声抑制功能。</w:t>
      </w:r>
    </w:p>
    <w:p w14:paraId="4751D2BC">
      <w:pPr>
        <w:keepNext/>
        <w:keepLines/>
        <w:numPr>
          <w:ilvl w:val="0"/>
          <w:numId w:val="6"/>
        </w:numPr>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83" w:name="_Toc4032"/>
      <w:bookmarkStart w:id="384" w:name="_Toc7167"/>
      <w:bookmarkStart w:id="385" w:name="_Toc3511"/>
      <w:r>
        <w:rPr>
          <w:rFonts w:hint="eastAsia" w:ascii="宋体" w:hAnsi="宋体" w:cs="宋体"/>
          <w:b/>
          <w:bCs/>
          <w:color w:val="000000" w:themeColor="text1"/>
          <w:sz w:val="32"/>
          <w:szCs w:val="32"/>
          <w:highlight w:val="none"/>
          <w14:textFill>
            <w14:solidFill>
              <w14:schemeClr w14:val="tx1"/>
            </w14:solidFill>
          </w14:textFill>
        </w:rPr>
        <w:t>探照灯</w:t>
      </w:r>
      <w:bookmarkEnd w:id="383"/>
      <w:bookmarkEnd w:id="384"/>
      <w:bookmarkEnd w:id="385"/>
    </w:p>
    <w:p w14:paraId="0CA81A9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1、探照灯支持常亮和爆闪两种模式；同时提供广视野照明模式。</w:t>
      </w:r>
    </w:p>
    <w:p w14:paraId="31DE993F">
      <w:pPr>
        <w:keepNext/>
        <w:keepLines/>
        <w:spacing w:before="120" w:after="120" w:line="440" w:lineRule="exact"/>
        <w:jc w:val="center"/>
        <w:outlineLvl w:val="0"/>
        <w:rPr>
          <w:rFonts w:ascii="宋体" w:hAnsi="宋体" w:cs="宋体"/>
          <w:b/>
          <w:color w:val="000000" w:themeColor="text1"/>
          <w:sz w:val="48"/>
          <w:szCs w:val="48"/>
          <w:highlight w:val="none"/>
          <w14:textFill>
            <w14:solidFill>
              <w14:schemeClr w14:val="tx1"/>
            </w14:solidFill>
          </w14:textFill>
        </w:rPr>
      </w:pPr>
      <w:bookmarkStart w:id="386" w:name="_Toc26934"/>
      <w:r>
        <w:rPr>
          <w:rFonts w:hint="eastAsia" w:ascii="宋体" w:hAnsi="宋体" w:cs="宋体"/>
          <w:b/>
          <w:color w:val="000000" w:themeColor="text1"/>
          <w:sz w:val="48"/>
          <w:szCs w:val="48"/>
          <w:highlight w:val="none"/>
          <w14:textFill>
            <w14:solidFill>
              <w14:schemeClr w14:val="tx1"/>
            </w14:solidFill>
          </w14:textFill>
        </w:rPr>
        <w:t>水质监测站</w:t>
      </w:r>
      <w:bookmarkEnd w:id="386"/>
    </w:p>
    <w:p w14:paraId="2F0AC048">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87" w:name="_Toc7020"/>
      <w:bookmarkStart w:id="388" w:name="_Toc29615"/>
      <w:bookmarkStart w:id="389" w:name="_Toc5139"/>
      <w:bookmarkStart w:id="390" w:name="OLE_LINK1"/>
      <w:bookmarkStart w:id="391" w:name="OLE_LINK2"/>
      <w:r>
        <w:rPr>
          <w:rFonts w:hint="eastAsia" w:ascii="宋体" w:hAnsi="宋体" w:cs="宋体"/>
          <w:b/>
          <w:bCs/>
          <w:color w:val="000000" w:themeColor="text1"/>
          <w:sz w:val="32"/>
          <w:szCs w:val="32"/>
          <w:highlight w:val="none"/>
          <w14:textFill>
            <w14:solidFill>
              <w14:schemeClr w14:val="tx1"/>
            </w14:solidFill>
          </w14:textFill>
        </w:rPr>
        <w:t>一、监测站房</w:t>
      </w:r>
      <w:bookmarkEnd w:id="387"/>
      <w:bookmarkEnd w:id="388"/>
      <w:bookmarkEnd w:id="389"/>
    </w:p>
    <w:p w14:paraId="2652F4D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站房采用整体吊装式一体结构，站房要求实用、美观、牢固；站房面积12平方米，高度不大于3m(外部)，长宽依据现场条件而定；站房材料：材料采用彩钢板，钢板厚度0.5mm，中间保温层厚度不小于50mm，材质为聚氨酯隔热棉；在墙壁上装置抽气风机排气口；站房门为标准防盗门，颜色同墙体颜色一致；站房具备吊装结构，可以顶部吊装，保障整体吊装稳定性；站房设计有良好的接地；</w:t>
      </w:r>
    </w:p>
    <w:p w14:paraId="701C0C4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2、配套地基基础、引水（距离不超150M）、栈桥建设（含材料），以满足取水要求。</w:t>
      </w:r>
    </w:p>
    <w:p w14:paraId="7D60BA62">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92" w:name="_Toc8749"/>
      <w:bookmarkStart w:id="393" w:name="_Toc20082"/>
      <w:bookmarkStart w:id="394" w:name="_Toc9888"/>
      <w:r>
        <w:rPr>
          <w:rFonts w:hint="eastAsia" w:ascii="宋体" w:hAnsi="宋体" w:cs="宋体"/>
          <w:b/>
          <w:bCs/>
          <w:color w:val="000000" w:themeColor="text1"/>
          <w:sz w:val="32"/>
          <w:szCs w:val="32"/>
          <w:highlight w:val="none"/>
          <w14:textFill>
            <w14:solidFill>
              <w14:schemeClr w14:val="tx1"/>
            </w14:solidFill>
          </w14:textFill>
        </w:rPr>
        <w:t>二、水样预处理装置设备</w:t>
      </w:r>
      <w:bookmarkEnd w:id="392"/>
      <w:bookmarkEnd w:id="393"/>
      <w:bookmarkEnd w:id="394"/>
    </w:p>
    <w:p w14:paraId="3D8FE89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水方式：采水系统应在满足取水要求的前提下尽量简洁，根据现场情况选择适当的采水方案；安全可靠，满足丰、平、枯各个不同水期的采水需求；采水单元的功能确保将采样点的水样引至监测站内，并满足配水单元和分析仪器的需要；采水单元包括采水构筑物、采水泵、采水管道和清洗配套装置；</w:t>
      </w:r>
    </w:p>
    <w:p w14:paraId="17FBE7A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2、取水采用潜水泵或自吸泵，双泵双管路设计，具备自动切换水泵供电、旁路系统和报警提示功能，在控制系统中设置自动诊断泵、管路故障及自动切换泵、管路功能，满足实时不间断监测要求；</w:t>
      </w:r>
    </w:p>
    <w:p w14:paraId="46F094D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3、采水单元需要设计并制作必要的保温、防冻、防压、防淤、防撞、防盗措施，并对采水设备和设施进行必要的固定；采水单元设置采水单元清洗功能；</w:t>
      </w:r>
    </w:p>
    <w:p w14:paraId="252B74C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能自动判断取水系统故障，并发出报警信号；采水单元能够在停电时自我保护，再次通电时自动恢复；采水系统可采用连续或间歇方式工作，并能够根据监测要求现场或远程设置监测频次；采水系统的总水量可以满足所有仪器的用水要求，兼顾将来增加分析仪器的需要。</w:t>
      </w:r>
    </w:p>
    <w:p w14:paraId="69CD4F2E">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95" w:name="_Toc13553"/>
      <w:bookmarkStart w:id="396" w:name="_Toc21351"/>
      <w:bookmarkStart w:id="397" w:name="_Toc5115"/>
      <w:r>
        <w:rPr>
          <w:rFonts w:hint="eastAsia" w:ascii="宋体" w:hAnsi="宋体" w:cs="宋体"/>
          <w:b/>
          <w:bCs/>
          <w:color w:val="000000" w:themeColor="text1"/>
          <w:sz w:val="32"/>
          <w:szCs w:val="32"/>
          <w:highlight w:val="none"/>
          <w14:textFill>
            <w14:solidFill>
              <w14:schemeClr w14:val="tx1"/>
            </w14:solidFill>
          </w14:textFill>
        </w:rPr>
        <w:t>三、配水装置设备</w:t>
      </w:r>
      <w:bookmarkEnd w:id="395"/>
      <w:bookmarkEnd w:id="396"/>
      <w:bookmarkEnd w:id="397"/>
    </w:p>
    <w:p w14:paraId="1F9F01CA">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配水及预处理单元由流通池、沉淀池、水样分配装置、预处理装置及管道等组成。实现对分析仪器配水的功能，并具有自动反清（吹）洗功能。预处理单元为不同分析仪器配备预处理装置，常规五参数使用原水直接分析，应根据国家标准分析方法要求对高锰酸盐指数、氨氮、总磷、总氮分析仪器提供相应的预处理方法；</w:t>
      </w:r>
    </w:p>
    <w:p w14:paraId="4CC2F05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配水管路设计合理，流向清洗，便于维护；保证仪器分析测试的水样能代表断面水质情况并满足仪器测试需求；配水主管路采用串联方式，各仪器之间管路采用并联方式，保障任何仪器的配水管路出现故障不能影响其他仪器的测试；配水单元的所有操作均可通过控制单元实现，并接受平台端的远程控制；</w:t>
      </w:r>
    </w:p>
    <w:p w14:paraId="502E826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3、水站设有排水口以及水样比对实验用的手动取水口；</w:t>
      </w:r>
    </w:p>
    <w:p w14:paraId="5D8F386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4、能配合系统实现水样自动分配、自动预处理、故障自动报警、关键部件工作状态的显示和反控等功能；</w:t>
      </w:r>
    </w:p>
    <w:p w14:paraId="65B7476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5、所选管材机械强度及化学稳定性好、使用寿命长、便于安装维护，不会对水样水质造成影响；管路内径、压力、流量、流速满足仪器分析需要，并留有余量。</w:t>
      </w:r>
    </w:p>
    <w:p w14:paraId="064DE6B3">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398" w:name="_Toc2752"/>
      <w:bookmarkStart w:id="399" w:name="_Toc15930"/>
      <w:bookmarkStart w:id="400" w:name="_Toc404"/>
      <w:r>
        <w:rPr>
          <w:rFonts w:hint="eastAsia" w:ascii="宋体" w:hAnsi="宋体" w:cs="宋体"/>
          <w:b/>
          <w:bCs/>
          <w:color w:val="000000" w:themeColor="text1"/>
          <w:sz w:val="32"/>
          <w:szCs w:val="32"/>
          <w:highlight w:val="none"/>
          <w14:textFill>
            <w14:solidFill>
              <w14:schemeClr w14:val="tx1"/>
            </w14:solidFill>
          </w14:textFill>
        </w:rPr>
        <w:t>四、控制单元设备</w:t>
      </w:r>
      <w:bookmarkEnd w:id="398"/>
      <w:bookmarkEnd w:id="399"/>
      <w:bookmarkEnd w:id="400"/>
    </w:p>
    <w:p w14:paraId="2D706C8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1、所有化学水质在线监测仪和传感器通过 RS485/RS232端口传输与工控机（ Windows 系统）进行交互；</w:t>
      </w:r>
    </w:p>
    <w:p w14:paraId="24FF981F">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2、控制单元对采水单元、配水及预处理单元、分析单元等进行控制，并实现数据采集与传输功能，保证系统连续、可靠和安全运行；</w:t>
      </w:r>
    </w:p>
    <w:p w14:paraId="102D989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断电保护功能，能够在断电时保存系统参数和历史数据，在来电时自动恢复系统；自动采集数据功能，包括自动采集水质自动分析仪器数据、集成控制数据等，采集的数据应自动添加数据标识，异常监测数据能自动识别；趋势分析功能：具备各模块分析趋势图，方便分析；单点控制功能，能够对单一控制点（阀、泵等）进行调试；</w:t>
      </w:r>
    </w:p>
    <w:p w14:paraId="427ACFD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对分析仪器的启停、校时、校准、质控测试等控制功能；参数设置功能，能够对小数位、单位、仪器测定上下限、报警（超标）上下限等参数进行设置；各仪器监测结果、状态参数、运行流程、报警信息等显示的功能；监测数据查询、导出、自动备份功能，可分类查询水质周期数据、质控数据及其对应的仪器、系统日志流程信息；</w:t>
      </w:r>
    </w:p>
    <w:p w14:paraId="522EECEA">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5、采集分析仪器和集成系统各单元的工作状态量，并以运行日志的形式记录保存；</w:t>
      </w:r>
    </w:p>
    <w:p w14:paraId="58516C4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6、试剂/标液监控：具有试剂/标液有效期管理、余量监控及提示功能；</w:t>
      </w:r>
    </w:p>
    <w:p w14:paraId="405FF46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7、健康诊断系统：具备系统各模块通讯状态实时显示和通讯中断提示功能；具备常规耗材寿命管理和提示功能；具备断电保护功能和异常复位功能；</w:t>
      </w:r>
    </w:p>
    <w:p w14:paraId="57EE168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8、具备对通信链路的自动诊断功能，具备超时补发功能；具备数据一点多传功能。</w:t>
      </w:r>
    </w:p>
    <w:p w14:paraId="6F469AE8">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01" w:name="_Toc5488"/>
      <w:bookmarkStart w:id="402" w:name="_Toc9308"/>
      <w:bookmarkStart w:id="403" w:name="_Toc27063"/>
      <w:r>
        <w:rPr>
          <w:rFonts w:hint="eastAsia" w:ascii="宋体" w:hAnsi="宋体" w:cs="宋体"/>
          <w:b/>
          <w:bCs/>
          <w:color w:val="000000" w:themeColor="text1"/>
          <w:sz w:val="32"/>
          <w:szCs w:val="32"/>
          <w:highlight w:val="none"/>
          <w14:textFill>
            <w14:solidFill>
              <w14:schemeClr w14:val="tx1"/>
            </w14:solidFill>
          </w14:textFill>
        </w:rPr>
        <w:t>五、数据采集传输设备</w:t>
      </w:r>
      <w:bookmarkEnd w:id="401"/>
      <w:bookmarkEnd w:id="402"/>
      <w:bookmarkEnd w:id="403"/>
    </w:p>
    <w:p w14:paraId="650C5A8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采集自动分析仪器的监测数据，并分类保存；采集自动分析仪器和集成系统各单元的工作状态量，并以运行日志的形式记录保存；能够实时采集数据信息并传输至中心平台（环保平台）；断电后能自动保存历史数据和参数设置；</w:t>
      </w:r>
    </w:p>
    <w:p w14:paraId="53207C0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2、采用无线、有线的通讯方式满足数据传输要求；具备对通信链路的自动诊断功能，具备超时补发功能。</w:t>
      </w:r>
    </w:p>
    <w:p w14:paraId="20398A05">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04" w:name="_Toc28082"/>
      <w:bookmarkStart w:id="405" w:name="_Toc786"/>
      <w:bookmarkStart w:id="406" w:name="_Toc26809"/>
      <w:r>
        <w:rPr>
          <w:rFonts w:hint="eastAsia" w:ascii="宋体" w:hAnsi="宋体" w:cs="宋体"/>
          <w:b/>
          <w:bCs/>
          <w:color w:val="000000" w:themeColor="text1"/>
          <w:sz w:val="32"/>
          <w:szCs w:val="32"/>
          <w:highlight w:val="none"/>
          <w14:textFill>
            <w14:solidFill>
              <w14:schemeClr w14:val="tx1"/>
            </w14:solidFill>
          </w14:textFill>
        </w:rPr>
        <w:t>六、环境集成配套</w:t>
      </w:r>
      <w:bookmarkEnd w:id="404"/>
      <w:r>
        <w:rPr>
          <w:rFonts w:hint="eastAsia" w:ascii="宋体" w:hAnsi="宋体" w:cs="宋体"/>
          <w:b/>
          <w:bCs/>
          <w:color w:val="000000" w:themeColor="text1"/>
          <w:sz w:val="32"/>
          <w:szCs w:val="32"/>
          <w:highlight w:val="none"/>
          <w14:textFill>
            <w14:solidFill>
              <w14:schemeClr w14:val="tx1"/>
            </w14:solidFill>
          </w14:textFill>
        </w:rPr>
        <w:t>设备</w:t>
      </w:r>
      <w:bookmarkEnd w:id="405"/>
      <w:bookmarkEnd w:id="406"/>
    </w:p>
    <w:p w14:paraId="3CBBE37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1、温湿度传感器、液位传感器等集成在水质监测站中，保证设备正常运行检测的基础环境；</w:t>
      </w:r>
    </w:p>
    <w:p w14:paraId="26FB392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2、恒温装置主要为集成组成；集成空调提供系统稳定运行的适宜温度，温度保持在 18~28C，湿度在60%以内，恒温设备功率满足温度要求，具备来电自启功能，并根据温度要求自动运行，保障室内设备的正常工作。</w:t>
      </w:r>
    </w:p>
    <w:p w14:paraId="1315A9F2">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07" w:name="_Toc25809"/>
      <w:bookmarkStart w:id="408" w:name="_Toc9956"/>
      <w:r>
        <w:rPr>
          <w:rFonts w:hint="eastAsia" w:ascii="宋体" w:hAnsi="宋体" w:cs="宋体"/>
          <w:b/>
          <w:bCs/>
          <w:color w:val="000000" w:themeColor="text1"/>
          <w:sz w:val="32"/>
          <w:szCs w:val="32"/>
          <w:highlight w:val="none"/>
          <w14:textFill>
            <w14:solidFill>
              <w14:schemeClr w14:val="tx1"/>
            </w14:solidFill>
          </w14:textFill>
        </w:rPr>
        <w:t>七、电力设施及监控设备</w:t>
      </w:r>
      <w:bookmarkEnd w:id="407"/>
      <w:bookmarkEnd w:id="408"/>
    </w:p>
    <w:p w14:paraId="2E8AAFA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1、主要由供电系统组成，保证断电后持续供电2小时以上，可保证系统进行一次正常监测并上传数据；</w:t>
      </w:r>
    </w:p>
    <w:p w14:paraId="30C938A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视频监控设备：为了实现远程监视水质监测站情况，水质监测站自建视频监控设备，观察采水系统（取样水泵、浮球等）状况，观察水质监测站周边的水位、流量等水情情况，同时观察水质监测站、供电线路等周边的环境。</w:t>
      </w:r>
    </w:p>
    <w:p w14:paraId="7BCF31F6">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09" w:name="_Toc26088"/>
      <w:bookmarkStart w:id="410" w:name="_Toc29283"/>
      <w:bookmarkStart w:id="411" w:name="_Toc22140"/>
      <w:r>
        <w:rPr>
          <w:rFonts w:hint="eastAsia" w:ascii="宋体" w:hAnsi="宋体" w:cs="宋体"/>
          <w:b/>
          <w:bCs/>
          <w:color w:val="000000" w:themeColor="text1"/>
          <w:sz w:val="32"/>
          <w:szCs w:val="32"/>
          <w:highlight w:val="none"/>
          <w14:textFill>
            <w14:solidFill>
              <w14:schemeClr w14:val="tx1"/>
            </w14:solidFill>
          </w14:textFill>
        </w:rPr>
        <w:t>八、雷达流速流量计</w:t>
      </w:r>
      <w:bookmarkEnd w:id="409"/>
      <w:bookmarkEnd w:id="410"/>
      <w:bookmarkEnd w:id="411"/>
    </w:p>
    <w:p w14:paraId="12A39AD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1、测速范围：0.1~20m/s，可以显示正负流向；流速分辨力：0.001m/s；水位准确度等级：1级； 水位标称：0~10m；水位分辨力</w:t>
      </w:r>
      <w:r>
        <w:rPr>
          <w:rFonts w:hint="eastAsia" w:ascii="宋体" w:hAnsi="宋体"/>
          <w:color w:val="000000" w:themeColor="text1"/>
          <w:sz w:val="24"/>
          <w:highlight w:val="none"/>
          <w14:textFill>
            <w14:solidFill>
              <w14:schemeClr w14:val="tx1"/>
            </w14:solidFill>
          </w14:textFill>
        </w:rPr>
        <w:t>：1mm；</w:t>
      </w:r>
      <w:r>
        <w:rPr>
          <w:rFonts w:hint="eastAsia" w:ascii="宋体" w:hAnsi="宋体" w:cs="宋体"/>
          <w:color w:val="000000" w:themeColor="text1"/>
          <w:sz w:val="24"/>
          <w:szCs w:val="24"/>
          <w:highlight w:val="none"/>
          <w14:textFill>
            <w14:solidFill>
              <w14:schemeClr w14:val="tx1"/>
            </w14:solidFill>
          </w14:textFill>
        </w:rPr>
        <w:t>具备防雷、抗电磁干扰功能，外壳防护等级达到IP68。</w:t>
      </w:r>
    </w:p>
    <w:p w14:paraId="0144624E">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12" w:name="_Toc31877"/>
      <w:bookmarkStart w:id="413" w:name="_Toc27630"/>
      <w:bookmarkStart w:id="414" w:name="_Toc30305"/>
      <w:r>
        <w:rPr>
          <w:rFonts w:hint="eastAsia" w:ascii="宋体" w:hAnsi="宋体" w:cs="宋体"/>
          <w:b/>
          <w:bCs/>
          <w:color w:val="000000" w:themeColor="text1"/>
          <w:sz w:val="32"/>
          <w:szCs w:val="32"/>
          <w:highlight w:val="none"/>
          <w14:textFill>
            <w14:solidFill>
              <w14:schemeClr w14:val="tx1"/>
            </w14:solidFill>
          </w14:textFill>
        </w:rPr>
        <w:t>九、高锰酸盐指数在线监测仪</w:t>
      </w:r>
      <w:bookmarkEnd w:id="412"/>
      <w:bookmarkEnd w:id="413"/>
      <w:bookmarkEnd w:id="414"/>
    </w:p>
    <w:p w14:paraId="21EC784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1、测量原理：高锰酸钾氧化光度法或滴定法，具有远程自动质控功能；</w:t>
      </w:r>
    </w:p>
    <w:p w14:paraId="60144D2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2、测量范围：0~10mg/L; 0~20mg/L；</w:t>
      </w:r>
    </w:p>
    <w:p w14:paraId="732936A3">
      <w:pPr>
        <w:spacing w:line="440" w:lineRule="exact"/>
        <w:ind w:firstLine="24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▲3、重复性误差：±1%；零点漂移: ±1%；量程漂移: ±1%；葡萄糖试验：±1.0%；电压稳定性：±5%；</w:t>
      </w:r>
      <w:r>
        <w:rPr>
          <w:rFonts w:hint="eastAsia" w:ascii="宋体" w:hAnsi="宋体"/>
          <w:b/>
          <w:bCs/>
          <w:color w:val="000000" w:themeColor="text1"/>
          <w:sz w:val="24"/>
          <w:szCs w:val="24"/>
          <w:highlight w:val="none"/>
          <w14:textFill>
            <w14:solidFill>
              <w14:schemeClr w14:val="tx1"/>
            </w14:solidFill>
          </w14:textFill>
        </w:rPr>
        <w:t>（须提供技术监督部门出具的技术分析评价报告或第三方检测机构出具的检测报告扫描件）</w:t>
      </w:r>
    </w:p>
    <w:p w14:paraId="5013772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4、测量周期：≤55分钟；</w:t>
      </w:r>
    </w:p>
    <w:p w14:paraId="09108A1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5、通讯接口：RS232/485、RJ45，2路数字量可并行输出；模拟信号：4-20mA；控制信号：2路开关量输入，2路开关量输出；工作电源：AC（220±20）V,（50±0.5）Hz;</w:t>
      </w:r>
    </w:p>
    <w:p w14:paraId="2AB1759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其他方面：采用高性能嵌入式一体化触摸屏；具有仪器操作过程日志记录功能；可以存储至少一年的原始数据和运行日志；仪器异常报警（包括故障报警、超量程报警、超标报警、缺试剂报警等信息）；断电数据自动保存；异常复位和断电后来电，自动恢复工作状态；仪器状态（如测量、空闲、故障、维护等)显示功能；仪器具有三级管理权限。</w:t>
      </w:r>
    </w:p>
    <w:p w14:paraId="26486541">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7、仪器功能要求：</w:t>
      </w:r>
    </w:p>
    <w:p w14:paraId="0E93D6FE">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（1）仪器自身可实现自动水样测试、校准、标准样测试、标液核查、平行样核查、空白样测试、零点漂移测试、量程漂移测试功能;且有独立的零点核查、跨度核查、标准样、水样通道。</w:t>
      </w:r>
    </w:p>
    <w:p w14:paraId="3FFC1325">
      <w:pPr>
        <w:spacing w:line="440" w:lineRule="exact"/>
        <w:ind w:firstLine="240"/>
        <w:rPr>
          <w:rFonts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▲（2）具有高、中、低量程智能选择、自动切换功能，支持超量程自动调档再测；且具备多量程标定功能，不同量程段标定匹配的校准曲线，保证校准曲线适用量程。</w:t>
      </w:r>
      <w:r>
        <w:rPr>
          <w:rFonts w:hint="eastAsia" w:ascii="宋体" w:hAnsi="宋体"/>
          <w:b/>
          <w:bCs/>
          <w:color w:val="000000" w:themeColor="text1"/>
          <w:sz w:val="24"/>
          <w:szCs w:val="24"/>
          <w:highlight w:val="none"/>
          <w14:textFill>
            <w14:solidFill>
              <w14:schemeClr w14:val="tx1"/>
            </w14:solidFill>
          </w14:textFill>
        </w:rPr>
        <w:t>（须提供技术监督部门出具的技术分析评价报告或第三方检测机构出具的检测报告扫描件）。</w:t>
      </w:r>
    </w:p>
    <w:p w14:paraId="28858E12">
      <w:pPr>
        <w:spacing w:line="440" w:lineRule="exact"/>
        <w:ind w:firstLine="240"/>
        <w:rPr>
          <w:rFonts w:ascii="宋体" w:hAnsi="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▲（3）具备液体检测功能，可对仪器运行过程中液路状态进行实时监控，识别气泡并消除气泡干扰对定量准确度的影响。</w:t>
      </w:r>
      <w:r>
        <w:rPr>
          <w:rFonts w:hint="eastAsia" w:ascii="宋体" w:hAnsi="宋体"/>
          <w:b/>
          <w:bCs/>
          <w:color w:val="000000" w:themeColor="text1"/>
          <w:sz w:val="24"/>
          <w:szCs w:val="24"/>
          <w:highlight w:val="none"/>
          <w14:textFill>
            <w14:solidFill>
              <w14:schemeClr w14:val="tx1"/>
            </w14:solidFill>
          </w14:textFill>
        </w:rPr>
        <w:t>（须提供技术监督部门出具的技术分析评价报告或第三方检测机构出具的检测报告扫描件）。</w:t>
      </w:r>
    </w:p>
    <w:p w14:paraId="603B3C27">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（4）采用模块化设计，通过更换测量模块，可切换测量参数，实现多个参数的转换测试；</w:t>
      </w:r>
    </w:p>
    <w:p w14:paraId="6ABE8DE3">
      <w:pPr>
        <w:spacing w:line="440" w:lineRule="exact"/>
        <w:ind w:firstLine="480"/>
        <w:rPr>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试剂余量监控：具备纯水、试剂、核查样和标样等余量监控和提示报警功能：具备监测频次加密设置功能，有应急需要时可加密频次到1次/小时；具备可调节消解温度及反应时间，可针对复杂难消解水样进行适应性测量。</w:t>
      </w:r>
    </w:p>
    <w:p w14:paraId="12CE78B2">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15" w:name="_Toc10356"/>
      <w:bookmarkStart w:id="416" w:name="_Toc29791"/>
      <w:bookmarkStart w:id="417" w:name="_Toc988"/>
      <w:r>
        <w:rPr>
          <w:rFonts w:hint="eastAsia" w:ascii="宋体" w:hAnsi="宋体" w:cs="宋体"/>
          <w:b/>
          <w:bCs/>
          <w:color w:val="000000" w:themeColor="text1"/>
          <w:sz w:val="32"/>
          <w:szCs w:val="32"/>
          <w:highlight w:val="none"/>
          <w14:textFill>
            <w14:solidFill>
              <w14:schemeClr w14:val="tx1"/>
            </w14:solidFill>
          </w14:textFill>
        </w:rPr>
        <w:t>十、氨氮在线监测仪</w:t>
      </w:r>
      <w:bookmarkEnd w:id="415"/>
      <w:bookmarkEnd w:id="416"/>
      <w:bookmarkEnd w:id="417"/>
    </w:p>
    <w:p w14:paraId="2B0500A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1、测量原理：水杨酸分光光度法，具有远程自动质控功能；</w:t>
      </w:r>
    </w:p>
    <w:p w14:paraId="0E8EB6F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2、测量范围：0~2mg/L; 0~10mg/L；0~50mg/L（可扩展）</w:t>
      </w:r>
    </w:p>
    <w:p w14:paraId="2F46A87A">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3、重复性: ≤2% </w:t>
      </w:r>
    </w:p>
    <w:p w14:paraId="61CD7ECA">
      <w:pPr>
        <w:spacing w:line="440" w:lineRule="exact"/>
        <w:ind w:firstLine="2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▲4、24h低浓度漂移 ≤0.002mg/L；24h高浓度漂移≤0.3% （须提供第三方质量检验或计量测试机构出具的检测报告扫描件）。</w:t>
      </w:r>
    </w:p>
    <w:p w14:paraId="51FAADC9">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5、平均无故障运行时间：≥1440h/次。</w:t>
      </w:r>
    </w:p>
    <w:p w14:paraId="7E914B4A">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6、示值误差：量程20%标准溶液，不超过±8%；量程50%标准溶液，不超过±5%；量程80%标准溶液，不超过±3%；</w:t>
      </w:r>
    </w:p>
    <w:p w14:paraId="58891B57">
      <w:pPr>
        <w:spacing w:line="440" w:lineRule="exact"/>
        <w:ind w:firstLine="2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▲7、定量下限：≤0.01mg/L；记忆效应：±0.3mg/L；电压影响：±5% （须提供第三方质量检验或计量测试机构出具的检测报告扫描件）；</w:t>
      </w:r>
    </w:p>
    <w:p w14:paraId="32114ABF">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 pH试验：±6% ；</w:t>
      </w:r>
    </w:p>
    <w:p w14:paraId="4E2F8644">
      <w:pPr>
        <w:spacing w:line="440" w:lineRule="exact"/>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9、环境温度影响：±3% ；</w:t>
      </w:r>
    </w:p>
    <w:p w14:paraId="700ECE3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10、测量周期：≤30分钟；测量模式：时间间隔（0~9999min任意设定）和24H整点时间测量模式、单次测量、反控测量；</w:t>
      </w:r>
    </w:p>
    <w:p w14:paraId="7FD27556">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11、质量控制：可设置时间点进行定期自动校准，可设置任意时间进行标液自动核查；</w:t>
      </w:r>
    </w:p>
    <w:p w14:paraId="5430CBC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12、校准模式：手动校准；可设置任意时间定期进⾏自动校准；</w:t>
      </w:r>
    </w:p>
    <w:p w14:paraId="1F47048A">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13、通讯接口：RS232/485、RJ45，2路数字量可并行输出；模拟信号：4-20mA；控制信号：2路开关量输入，2路开关量输出；工作电源：AC（220±20）V,（50±0.5）Hz；</w:t>
      </w:r>
    </w:p>
    <w:p w14:paraId="39F9662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其他方面：采用高性能嵌入式一体化触摸屏；具有仪器操作过程日志记录功能；可以存储至少一年的原始数据和运行日志；仪器异常报警（包括故障报警、超量程报警、超标报警、缺试剂报警等信息）；断电数据自动保存；异常复位和断电后来电，自动恢复工作状态；仪器状态（如测量、空闲、故障、维护等)显示功能；仪器具有三级管理权限。</w:t>
      </w:r>
    </w:p>
    <w:p w14:paraId="2B7C239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15、仪器功能要求：</w:t>
      </w:r>
    </w:p>
    <w:p w14:paraId="2F8D0636">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（1）仪器自身可实现自动水样测试、校准、标准样测试、标液核查、平行样核查、空白样测试、零点漂移测试、量程漂移测试功能;且有独立的零点核查、跨度核查、标准样、水样通道；</w:t>
      </w:r>
    </w:p>
    <w:p w14:paraId="63F5A885">
      <w:pPr>
        <w:spacing w:line="440" w:lineRule="exact"/>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具有高、中、低量程智能选择、自动切换功能，支持超量程自动调档再测；且具备多量程标定功能，不同量程段标定匹配的校准曲线，保证校准曲线适用量程（须提供技术监督部门出具的技术分析评价报告或第三方检测机构出具的检测报告扫描件）；</w:t>
      </w:r>
    </w:p>
    <w:p w14:paraId="5E4C2894">
      <w:pPr>
        <w:spacing w:line="440" w:lineRule="exact"/>
        <w:ind w:firstLine="240"/>
        <w:rPr>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▲（3）具备一定范围的抗浊度功能，高浊度水体（200-350NTU）比对试验结果不超过10%</w:t>
      </w:r>
      <w:r>
        <w:rPr>
          <w:rFonts w:hint="eastAsia" w:ascii="宋体" w:hAnsi="宋体"/>
          <w:b/>
          <w:bCs/>
          <w:color w:val="000000" w:themeColor="text1"/>
          <w:sz w:val="24"/>
          <w:szCs w:val="24"/>
          <w:highlight w:val="none"/>
          <w14:textFill>
            <w14:solidFill>
              <w14:schemeClr w14:val="tx1"/>
            </w14:solidFill>
          </w14:textFill>
        </w:rPr>
        <w:t>（须提供技术监督部门出具的技术分析评价报告或第三方检测机构出具的检测报告扫描件）；</w:t>
      </w:r>
    </w:p>
    <w:p w14:paraId="15E7DF97">
      <w:pPr>
        <w:spacing w:line="440" w:lineRule="exact"/>
        <w:ind w:firstLine="480"/>
        <w:rPr>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（4）采用模块化设计，通过更换测量模块，可切换测量参数，实现多个参数的转换测试；试剂余量监控：具备纯水、试剂、核查样和标样等余量监控和提示报警功能。</w:t>
      </w:r>
    </w:p>
    <w:p w14:paraId="69178D7A">
      <w:pPr>
        <w:rPr>
          <w:color w:val="000000" w:themeColor="text1"/>
          <w:highlight w:val="none"/>
          <w14:textFill>
            <w14:solidFill>
              <w14:schemeClr w14:val="tx1"/>
            </w14:solidFill>
          </w14:textFill>
        </w:rPr>
      </w:pPr>
    </w:p>
    <w:p w14:paraId="6710FBAC">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18" w:name="_Toc26716"/>
      <w:r>
        <w:rPr>
          <w:rFonts w:hint="eastAsia" w:ascii="宋体" w:hAnsi="宋体" w:cs="宋体"/>
          <w:b/>
          <w:bCs/>
          <w:color w:val="000000" w:themeColor="text1"/>
          <w:sz w:val="32"/>
          <w:szCs w:val="32"/>
          <w:highlight w:val="none"/>
          <w14:textFill>
            <w14:solidFill>
              <w14:schemeClr w14:val="tx1"/>
            </w14:solidFill>
          </w14:textFill>
        </w:rPr>
        <w:t>十一、总磷在线监测仪</w:t>
      </w:r>
      <w:bookmarkEnd w:id="418"/>
    </w:p>
    <w:p w14:paraId="25780F2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1、测量原理：钼酸铵分光光度法，具有远程自动质控和浊度补偿功能；</w:t>
      </w:r>
    </w:p>
    <w:p w14:paraId="2091ED5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2、测量范围：0~2mg/L; 0~10mg/L；</w:t>
      </w:r>
    </w:p>
    <w:p w14:paraId="2D9D15E3">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3、示值误差：标准溶液≤0.5mg/L，不超过±0.05mg/L, 标准溶液＞0.5mg/L,不超过±10%；</w:t>
      </w:r>
    </w:p>
    <w:p w14:paraId="4BBADC9F">
      <w:pPr>
        <w:spacing w:line="440" w:lineRule="exact"/>
        <w:ind w:firstLine="24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▲4、重复性误差：±1%；零点漂移: ±1%；量程漂移: ±1%；直线性：±1%；电压稳定性：±5%</w:t>
      </w:r>
      <w:r>
        <w:rPr>
          <w:rFonts w:hint="eastAsia" w:ascii="宋体" w:hAnsi="宋体"/>
          <w:b/>
          <w:bCs/>
          <w:color w:val="000000" w:themeColor="text1"/>
          <w:sz w:val="24"/>
          <w:szCs w:val="24"/>
          <w:highlight w:val="none"/>
          <w14:textFill>
            <w14:solidFill>
              <w14:schemeClr w14:val="tx1"/>
            </w14:solidFill>
          </w14:textFill>
        </w:rPr>
        <w:t>（须提供技术监督部门出具的技术分析评价报告或第三方检测机构出具的检测报告扫描件）</w:t>
      </w:r>
      <w:r>
        <w:rPr>
          <w:rFonts w:hint="eastAsia" w:ascii="宋体" w:hAnsi="宋体"/>
          <w:color w:val="000000" w:themeColor="text1"/>
          <w:sz w:val="24"/>
          <w:szCs w:val="24"/>
          <w:highlight w:val="none"/>
          <w14:textFill>
            <w14:solidFill>
              <w14:schemeClr w14:val="tx1"/>
            </w14:solidFill>
          </w14:textFill>
        </w:rPr>
        <w:t>；</w:t>
      </w:r>
    </w:p>
    <w:p w14:paraId="4725ED4F">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5、测量周期：≤45分钟；测量模式：时间间隔（0~9999min任意设定）和24H整点时间测量模式、单次测量、反控测量；</w:t>
      </w:r>
    </w:p>
    <w:p w14:paraId="5B66217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6、质量控制：可设置时间点进行定期自动校准，可设置任意时间进行标液自动核查；</w:t>
      </w:r>
    </w:p>
    <w:p w14:paraId="02D54A4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7、校准模式：手动校准；可设置任意时间定期进⾏自动校准；</w:t>
      </w:r>
    </w:p>
    <w:p w14:paraId="11443EA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8、通讯接口：RS232/485、RJ45，2路数字量可并行输出；模拟信号：4-20mA；控制信号：2路开关量输入，2路开关量输出；工作电源：AC（220±20）V,（50±0.5）Hz；</w:t>
      </w:r>
    </w:p>
    <w:p w14:paraId="7C46F60A">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其他方面：采用高性能嵌入式一体化触摸屏；具有仪器操作过程日志记录功能；可以存储至少一年的原始数据和运行日志；仪器异常报警（包括故障报警、超量程报警、超标报警、缺试剂报警等信息）；断电数据自动保存；异常复位和断电后来电，自动恢复工作状态；仪器状态（如测量、空闲、故障、维护等)显示功能；仪器具有三级管理权限。</w:t>
      </w:r>
    </w:p>
    <w:p w14:paraId="3A8FBBD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10、仪器功能要求：</w:t>
      </w:r>
    </w:p>
    <w:p w14:paraId="160F1617">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（1）仪器自身可实现自动水样测试、校准、标准样测试、标液核查、平行样核查、空白样测试、零点漂移测试、量程漂移测试功能；且有独立的零点核查、跨度核查、标准样、水样通道；</w:t>
      </w:r>
    </w:p>
    <w:p w14:paraId="20B9BEBA">
      <w:pPr>
        <w:spacing w:line="440" w:lineRule="exact"/>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▲（2）具备一定范围的抗浊度功能，高浊度水体（200-350NTU）比对试验结果不超过10%（须提供技术监督部门出具的技术分析评价报告或第三方检测机构出具的检测报告扫描件）；</w:t>
      </w:r>
    </w:p>
    <w:p w14:paraId="4878ABF5">
      <w:pPr>
        <w:spacing w:line="440" w:lineRule="exact"/>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▲（3）具备监测频次加密设置功能，有应急需要时可加密频次到1次/小时</w:t>
      </w:r>
      <w:r>
        <w:rPr>
          <w:rFonts w:hint="eastAsia" w:ascii="宋体" w:hAnsi="宋体"/>
          <w:b/>
          <w:bCs/>
          <w:color w:val="000000" w:themeColor="text1"/>
          <w:sz w:val="24"/>
          <w:szCs w:val="24"/>
          <w:highlight w:val="none"/>
          <w14:textFill>
            <w14:solidFill>
              <w14:schemeClr w14:val="tx1"/>
            </w14:solidFill>
          </w14:textFill>
        </w:rPr>
        <w:t>（须提供技术监督部门出具的技术分析评价报告或第三方检测机构出具的检测报告扫描件）</w:t>
      </w:r>
      <w:r>
        <w:rPr>
          <w:rFonts w:hint="eastAsia" w:ascii="宋体" w:hAnsi="宋体"/>
          <w:color w:val="000000" w:themeColor="text1"/>
          <w:sz w:val="24"/>
          <w:szCs w:val="24"/>
          <w:highlight w:val="none"/>
          <w14:textFill>
            <w14:solidFill>
              <w14:schemeClr w14:val="tx1"/>
            </w14:solidFill>
          </w14:textFill>
        </w:rPr>
        <w:t>；</w:t>
      </w:r>
    </w:p>
    <w:p w14:paraId="392BBDD0">
      <w:pPr>
        <w:spacing w:line="440" w:lineRule="exact"/>
        <w:ind w:firstLine="480"/>
        <w:rPr>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（4）采用模块化设计，通过更换测量模块，可切换测量参数，实现多个参数的转换测试；具备光源恒温功能，温度可设；保证光源稳定，减少温度对光源的干扰。</w:t>
      </w:r>
    </w:p>
    <w:p w14:paraId="688FF7B7">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19" w:name="_Toc22200"/>
      <w:r>
        <w:rPr>
          <w:rFonts w:hint="eastAsia" w:ascii="宋体" w:hAnsi="宋体" w:cs="宋体"/>
          <w:b/>
          <w:bCs/>
          <w:color w:val="000000" w:themeColor="text1"/>
          <w:sz w:val="32"/>
          <w:szCs w:val="32"/>
          <w:highlight w:val="none"/>
          <w14:textFill>
            <w14:solidFill>
              <w14:schemeClr w14:val="tx1"/>
            </w14:solidFill>
          </w14:textFill>
        </w:rPr>
        <w:t>十二、总氮在线监测仪</w:t>
      </w:r>
      <w:bookmarkEnd w:id="419"/>
    </w:p>
    <w:p w14:paraId="26C71A9C">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1、测量原理：碱性过硫酸钾消解氧化紫外分光光度法，具有远程自动质控和浊度补偿功能；</w:t>
      </w:r>
    </w:p>
    <w:p w14:paraId="5088A102">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2、测量范围：0~10mg/L; 0~50mg/L；0~100mg/L（可扩展）；</w:t>
      </w:r>
    </w:p>
    <w:p w14:paraId="4679A70F">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3、示值误差：标准溶液≤2.0mg/L，不超过±0.2mg/L, 标准溶液＞2.0mg/L,不超过±10%；</w:t>
      </w:r>
    </w:p>
    <w:p w14:paraId="429BE6AF">
      <w:pPr>
        <w:spacing w:line="440" w:lineRule="exact"/>
        <w:ind w:firstLine="240"/>
        <w:rPr>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▲4、重复性误差：±1%；零点漂移: ±1%；直线性：±1%；（</w:t>
      </w:r>
      <w:r>
        <w:rPr>
          <w:rFonts w:hint="eastAsia" w:ascii="宋体" w:hAnsi="宋体"/>
          <w:b/>
          <w:bCs/>
          <w:color w:val="000000" w:themeColor="text1"/>
          <w:sz w:val="24"/>
          <w:szCs w:val="24"/>
          <w:highlight w:val="none"/>
          <w14:textFill>
            <w14:solidFill>
              <w14:schemeClr w14:val="tx1"/>
            </w14:solidFill>
          </w14:textFill>
        </w:rPr>
        <w:t>须提供第三方质量检验或计量测试机构出具的检测报告扫描件</w:t>
      </w:r>
      <w:r>
        <w:rPr>
          <w:rFonts w:hint="eastAsia" w:ascii="宋体" w:hAnsi="宋体"/>
          <w:color w:val="000000" w:themeColor="text1"/>
          <w:sz w:val="24"/>
          <w:szCs w:val="24"/>
          <w:highlight w:val="none"/>
          <w14:textFill>
            <w14:solidFill>
              <w14:schemeClr w14:val="tx1"/>
            </w14:solidFill>
          </w14:textFill>
        </w:rPr>
        <w:t>）；</w:t>
      </w:r>
    </w:p>
    <w:p w14:paraId="63525D01">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5、量程漂移：±1%；</w:t>
      </w:r>
    </w:p>
    <w:p w14:paraId="7E12F56C">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6、电压稳定性：±5%；</w:t>
      </w:r>
    </w:p>
    <w:p w14:paraId="021CA67C">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7、平均无故障运行时间：≥1440h/次；</w:t>
      </w:r>
    </w:p>
    <w:p w14:paraId="46607FF7">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8、最小维护周期：≥170h；</w:t>
      </w:r>
    </w:p>
    <w:p w14:paraId="6E199FC7">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9、测量周期：≤45分钟；测量模式：时间间隔（0~9999min任意设定）和24H整点时间测量模式、单次测量、反控测量；</w:t>
      </w:r>
    </w:p>
    <w:p w14:paraId="479DC3C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10、质量控制：可设置时间点进行定期自动校准，可设置任意时间进行标液自动核查；</w:t>
      </w:r>
    </w:p>
    <w:p w14:paraId="2DF43535">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11、校准模式：手动校准；可设置任意时间定期进⾏自动校准；</w:t>
      </w:r>
    </w:p>
    <w:p w14:paraId="166FB15B">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12、通讯接口：RS232/485、RJ45，2路数字量可并行输出；模拟信号：4-20mA；控制信号：2路开关量输入，2路开关量输出；工作电源：AC（220±20）V,（50±0.5）Hz；</w:t>
      </w:r>
    </w:p>
    <w:p w14:paraId="02795F8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其他方面：采用高性能嵌入式一体化触摸屏；具有仪器操作过程日志记录功能；可以存储至少一年的原始数据和运行日志；仪器异常报警（包括故障报警、超量程报警、超标报警、缺试剂报警等信息）；断电数据自动保存；异常复位和断电后来电，自动恢复工作状态；仪器状态（如测量、空闲、故障、维护等)显示功能；仪器具有三级管理权限。</w:t>
      </w:r>
    </w:p>
    <w:p w14:paraId="05FB1DCE">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14、仪器功能要求：</w:t>
      </w:r>
    </w:p>
    <w:p w14:paraId="5A9BF1F2">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（1）仪器自身可实现自动水样测试、校准、标准样测试、标液核查、平行样核查、空白样测试、零点漂移测试、量程漂移测试功能;且有独立的零点核查、跨度核查、标准样、水样通道；</w:t>
      </w:r>
    </w:p>
    <w:p w14:paraId="33F78257">
      <w:pPr>
        <w:spacing w:line="440" w:lineRule="exact"/>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▲（2）具有高、中、低量程智能选择、自动切换功能，支持超量程自动调档再测；且具备多量程标定功能，不同量程段标定匹配的校准曲线，保证校准曲线适用量程</w:t>
      </w:r>
      <w:r>
        <w:rPr>
          <w:rFonts w:hint="eastAsia" w:ascii="宋体" w:hAnsi="宋体"/>
          <w:b/>
          <w:bCs/>
          <w:color w:val="000000" w:themeColor="text1"/>
          <w:sz w:val="24"/>
          <w:szCs w:val="24"/>
          <w:highlight w:val="none"/>
          <w14:textFill>
            <w14:solidFill>
              <w14:schemeClr w14:val="tx1"/>
            </w14:solidFill>
          </w14:textFill>
        </w:rPr>
        <w:t>（须提供技术监督部门出具的技术分析评价报告或第三方检测机构出具的检测报告扫描件）</w:t>
      </w:r>
      <w:r>
        <w:rPr>
          <w:rFonts w:hint="eastAsia" w:ascii="宋体" w:hAnsi="宋体"/>
          <w:color w:val="000000" w:themeColor="text1"/>
          <w:sz w:val="24"/>
          <w:szCs w:val="24"/>
          <w:highlight w:val="none"/>
          <w14:textFill>
            <w14:solidFill>
              <w14:schemeClr w14:val="tx1"/>
            </w14:solidFill>
          </w14:textFill>
        </w:rPr>
        <w:t>；</w:t>
      </w:r>
    </w:p>
    <w:p w14:paraId="58020249">
      <w:pPr>
        <w:spacing w:line="440" w:lineRule="exact"/>
        <w:ind w:firstLine="24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▲（3）具备一定范围的抗浊度功能，高浊度水体（200-350NTU）比对试验结果不超过10%</w:t>
      </w:r>
      <w:r>
        <w:rPr>
          <w:rFonts w:hint="eastAsia" w:ascii="宋体" w:hAnsi="宋体"/>
          <w:b/>
          <w:bCs/>
          <w:color w:val="000000" w:themeColor="text1"/>
          <w:sz w:val="24"/>
          <w:szCs w:val="24"/>
          <w:highlight w:val="none"/>
          <w14:textFill>
            <w14:solidFill>
              <w14:schemeClr w14:val="tx1"/>
            </w14:solidFill>
          </w14:textFill>
        </w:rPr>
        <w:t>（须提供技术监督部门出具的技术分析评价报告或第三方检测机构出具的检测报告扫描件）</w:t>
      </w:r>
      <w:r>
        <w:rPr>
          <w:rFonts w:hint="eastAsia" w:ascii="宋体" w:hAnsi="宋体"/>
          <w:color w:val="000000" w:themeColor="text1"/>
          <w:sz w:val="24"/>
          <w:szCs w:val="24"/>
          <w:highlight w:val="none"/>
          <w14:textFill>
            <w14:solidFill>
              <w14:schemeClr w14:val="tx1"/>
            </w14:solidFill>
          </w14:textFill>
        </w:rPr>
        <w:t>；</w:t>
      </w:r>
    </w:p>
    <w:p w14:paraId="5A25E9A7">
      <w:pPr>
        <w:spacing w:line="440" w:lineRule="exact"/>
        <w:ind w:firstLine="480"/>
        <w:rPr>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（4）采用模块化设计，通过更换测量模块，可切换测量参数，实现多个参数的转换测试；试剂余量监控：具备纯水、试剂、核查样和标样等余量监控和提示报警功能。</w:t>
      </w:r>
    </w:p>
    <w:p w14:paraId="16F4BD8B">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20" w:name="_Toc3925"/>
      <w:r>
        <w:rPr>
          <w:rFonts w:hint="eastAsia" w:ascii="宋体" w:hAnsi="宋体" w:cs="宋体"/>
          <w:b/>
          <w:bCs/>
          <w:color w:val="000000" w:themeColor="text1"/>
          <w:sz w:val="32"/>
          <w:szCs w:val="32"/>
          <w:highlight w:val="none"/>
          <w14:textFill>
            <w14:solidFill>
              <w14:schemeClr w14:val="tx1"/>
            </w14:solidFill>
          </w14:textFill>
        </w:rPr>
        <w:t>十三、常规五参数分析仪</w:t>
      </w:r>
      <w:bookmarkEnd w:id="420"/>
    </w:p>
    <w:p w14:paraId="2094847F">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1、水温：a.测定原理:热电阻法；b.量程：0℃～60 ℃，可调；c.测量偏差：±0.5 ℃；</w:t>
      </w:r>
    </w:p>
    <w:p w14:paraId="365003F4">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2、pH：a.测定原理:玻璃电极法；b.量程：pH 0～14 （0～40 ℃），可调；c.重复性:≤0.02pH;</w:t>
      </w:r>
    </w:p>
    <w:p w14:paraId="3B1ECAC1">
      <w:pPr>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d.漂移（pH=4/7/9）：±0.1 pH；e.响应时间：≤30 s；f.温度补偿精度：±0.1 pH；</w:t>
      </w:r>
    </w:p>
    <w:p w14:paraId="68E619A9">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3、溶解氧：a.测定原理:荧光法；b.量程：0～20 mg/L，可调；c.零点漂移：±0.3mg/L；d.量程漂移：±0.2 mg/L；e.重复性误差：±0.2 mg/L；f.响应时间：≤120 s；g.温度补偿精度：±0.3 mg/L。</w:t>
      </w:r>
    </w:p>
    <w:p w14:paraId="11FCC1B1">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4、电导率：a.测定原理：电极法；b.量程：0～500 mS/m（0～40℃），可调；c.重复性误差：±1%；d.零点漂移：±1%；f.量程漂移：±1%；g.响应时间：≤30s；h.温度补偿精度：±1%；</w:t>
      </w:r>
    </w:p>
    <w:p w14:paraId="6E6E09FD">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5、浊度：a.测定原理：光散射法；b.量程：0～1000NTU，可调;c.重复性：≤5.0%；d.零点漂移：±3%；f.量程漂移：±5%；g.线性误差：±5%；h.电压稳定性：±3%。</w:t>
      </w:r>
    </w:p>
    <w:p w14:paraId="5A3E00E0">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21" w:name="_Toc28013"/>
      <w:bookmarkStart w:id="422" w:name="_Toc1950"/>
      <w:bookmarkStart w:id="423" w:name="_Toc26439"/>
      <w:r>
        <w:rPr>
          <w:rFonts w:hint="eastAsia" w:ascii="宋体" w:hAnsi="宋体" w:cs="宋体"/>
          <w:b/>
          <w:bCs/>
          <w:color w:val="000000" w:themeColor="text1"/>
          <w:sz w:val="32"/>
          <w:szCs w:val="32"/>
          <w:highlight w:val="none"/>
          <w14:textFill>
            <w14:solidFill>
              <w14:schemeClr w14:val="tx1"/>
            </w14:solidFill>
          </w14:textFill>
        </w:rPr>
        <w:t>十四、蓝绿藻传感器</w:t>
      </w:r>
      <w:bookmarkEnd w:id="421"/>
      <w:bookmarkEnd w:id="422"/>
      <w:bookmarkEnd w:id="423"/>
    </w:p>
    <w:p w14:paraId="4484F638">
      <w:pPr>
        <w:spacing w:line="440" w:lineRule="exact"/>
        <w:ind w:firstLine="48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1、测量范围：0~200000cells/mL；检出限：300cells/mL；准确度：±10%；重复性：≤5%。</w:t>
      </w:r>
    </w:p>
    <w:p w14:paraId="7C29EDFD">
      <w:pPr>
        <w:keepNext/>
        <w:keepLines/>
        <w:spacing w:line="440" w:lineRule="exact"/>
        <w:outlineLvl w:val="1"/>
        <w:rPr>
          <w:rFonts w:ascii="宋体" w:hAnsi="宋体" w:cs="宋体"/>
          <w:b/>
          <w:bCs/>
          <w:color w:val="000000" w:themeColor="text1"/>
          <w:sz w:val="32"/>
          <w:szCs w:val="32"/>
          <w:highlight w:val="none"/>
          <w14:textFill>
            <w14:solidFill>
              <w14:schemeClr w14:val="tx1"/>
            </w14:solidFill>
          </w14:textFill>
        </w:rPr>
      </w:pPr>
      <w:bookmarkStart w:id="424" w:name="_Toc15194"/>
      <w:bookmarkStart w:id="425" w:name="_Toc25950"/>
      <w:bookmarkStart w:id="426" w:name="_Toc5936"/>
      <w:r>
        <w:rPr>
          <w:rFonts w:hint="eastAsia" w:ascii="宋体" w:hAnsi="宋体" w:cs="宋体"/>
          <w:b/>
          <w:bCs/>
          <w:color w:val="000000" w:themeColor="text1"/>
          <w:sz w:val="32"/>
          <w:szCs w:val="32"/>
          <w:highlight w:val="none"/>
          <w14:textFill>
            <w14:solidFill>
              <w14:schemeClr w14:val="tx1"/>
            </w14:solidFill>
          </w14:textFill>
        </w:rPr>
        <w:t>配套软件：昆承湖河湖健康管理平台</w:t>
      </w:r>
      <w:bookmarkEnd w:id="390"/>
      <w:bookmarkEnd w:id="391"/>
      <w:bookmarkEnd w:id="424"/>
      <w:bookmarkEnd w:id="425"/>
      <w:bookmarkEnd w:id="426"/>
    </w:p>
    <w:p w14:paraId="30D5EA17">
      <w:pPr>
        <w:pStyle w:val="39"/>
        <w:spacing w:before="0" w:beforeAutospacing="0" w:after="0" w:afterAutospacing="0" w:line="440" w:lineRule="exact"/>
        <w:ind w:firstLine="480"/>
        <w:rPr>
          <w:color w:val="000000" w:themeColor="text1"/>
          <w:highlight w:val="none"/>
          <w:lang w:bidi="ar"/>
          <w14:textFill>
            <w14:solidFill>
              <w14:schemeClr w14:val="tx1"/>
            </w14:solidFill>
          </w14:textFill>
        </w:rPr>
      </w:pPr>
      <w:r>
        <w:rPr>
          <w:rFonts w:hint="eastAsia"/>
          <w:color w:val="000000" w:themeColor="text1"/>
          <w:highlight w:val="none"/>
          <w:lang w:bidi="ar"/>
          <w14:textFill>
            <w14:solidFill>
              <w14:schemeClr w14:val="tx1"/>
            </w14:solidFill>
          </w14:textFill>
        </w:rPr>
        <w:t>河湖健康管理平台基于“智水琴川”管理平台，将昆承湖流域河湖水系、岸线、水利工程、排口信息叠加在一张电子地图上。基础数据采集主要是完成整个系统平台所需的基础信息的采集、录入和管理，如河湖信息、河湖位置标注、河道坐标数据、湖泊坐标数据、人员信息管理、部门信息等，满足“智水琴川”管理平台接入要求（要求见）。</w:t>
      </w:r>
    </w:p>
    <w:p w14:paraId="64E77964">
      <w:pPr>
        <w:pStyle w:val="39"/>
        <w:spacing w:before="0" w:beforeAutospacing="0" w:after="0" w:afterAutospacing="0" w:line="440" w:lineRule="exact"/>
        <w:ind w:firstLine="482"/>
        <w:rPr>
          <w:color w:val="000000" w:themeColor="text1"/>
          <w:highlight w:val="none"/>
          <w14:textFill>
            <w14:solidFill>
              <w14:schemeClr w14:val="tx1"/>
            </w14:solidFill>
          </w14:textFill>
        </w:rPr>
      </w:pPr>
      <w:r>
        <w:rPr>
          <w:rFonts w:hint="eastAsia"/>
          <w:b/>
          <w:bCs/>
          <w:color w:val="000000" w:themeColor="text1"/>
          <w:highlight w:val="none"/>
          <w:lang w:bidi="ar"/>
          <w14:textFill>
            <w14:solidFill>
              <w14:schemeClr w14:val="tx1"/>
            </w14:solidFill>
          </w14:textFill>
        </w:rPr>
        <w:t>1、昆承湖断面水质分析模块：</w:t>
      </w:r>
      <w:r>
        <w:rPr>
          <w:rFonts w:hint="eastAsia"/>
          <w:color w:val="000000" w:themeColor="text1"/>
          <w:highlight w:val="none"/>
          <w:lang w:bidi="ar"/>
          <w14:textFill>
            <w14:solidFill>
              <w14:schemeClr w14:val="tx1"/>
            </w14:solidFill>
          </w14:textFill>
        </w:rPr>
        <w:t>开发昆承湖水质数据分析模块，断面水质数据包括昆承湖流域范围内国考、省考、市考、河湖长等断面水质情况，模块可实现每月河湖水质断面数据的自动录入、分析研判并定期生成昆承湖水质报表。模块可实现流域水质的智能感知，实现流域水环境长期可视化、智能化监测预警管理。</w:t>
      </w:r>
    </w:p>
    <w:p w14:paraId="341B204E">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2、昆承湖防汛决策模块</w:t>
      </w:r>
    </w:p>
    <w:p w14:paraId="329052E9">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2.1 水情监测：围绕防汛决策，将昆承湖水情相关的监测信息汇聚起来，实现昆承湖水情信息的全面展现，包括入湖河流、湖泊的水位信息、流量信息，各闸站开度信息及实时视频。</w:t>
      </w:r>
    </w:p>
    <w:p w14:paraId="788E4D90">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2.2 雨情监测：围绕防汛主题，将雨情相关的监测信息汇聚起来，实现昆承湖雨情信息的全面展现，包括实时降雨量、重点监测点位情况等。</w:t>
      </w:r>
    </w:p>
    <w:p w14:paraId="11988D80">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2.3 台风路径：接入台风路径，可以实时查看台风过境情况。</w:t>
      </w:r>
    </w:p>
    <w:p w14:paraId="44FE37E7">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2.4 气象预测：展现昆承湖周边雷达图、卫星云图信息，用于防汛决策时进行参考。</w:t>
      </w:r>
    </w:p>
    <w:p w14:paraId="16C11160">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3、无人机巡查处置模块</w:t>
      </w:r>
    </w:p>
    <w:p w14:paraId="406FB4D0">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3.1、无人机地面数据采集：无人机地面数据采集，包括巡检数据上报、飞行控制、无人机管理、航线规划四个模块，主要是用于完成无人机航拍图像数据的采集上传，图像智能识别后发现疑似问题的采集上报，无人机实时图传画面、飞控参数设置，无人机及附属设备的管理，巡检航线的规划管理等。</w:t>
      </w:r>
    </w:p>
    <w:p w14:paraId="686076C7">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3.2、数据处理分析：无人机数据处理分析包括巡检报告、图像拼接、图像查询三个模块，主要是对无人机巡检拍摄上传的图像进行处理分析，</w:t>
      </w:r>
      <w:r>
        <w:rPr>
          <w:rFonts w:hint="eastAsia" w:ascii="宋体" w:hAnsi="宋体" w:cs="宋体"/>
          <w:color w:val="000000" w:themeColor="text1"/>
          <w:sz w:val="24"/>
          <w:szCs w:val="24"/>
          <w:highlight w:val="none"/>
          <w14:textFill>
            <w14:solidFill>
              <w14:schemeClr w14:val="tx1"/>
            </w14:solidFill>
          </w14:textFill>
        </w:rPr>
        <w:t>进行垃圾、漂浮物Ai算法识别</w:t>
      </w:r>
      <w:r>
        <w:rPr>
          <w:rFonts w:hint="eastAsia" w:ascii="宋体" w:hAnsi="宋体" w:cs="宋体"/>
          <w:color w:val="000000" w:themeColor="text1"/>
          <w:sz w:val="24"/>
          <w:szCs w:val="24"/>
          <w:highlight w:val="none"/>
          <w:lang w:bidi="ar"/>
          <w14:textFill>
            <w14:solidFill>
              <w14:schemeClr w14:val="tx1"/>
            </w14:solidFill>
          </w14:textFill>
        </w:rPr>
        <w:t>，按时限形成巡检报告，通过报告能够准确判断具体位置及在此期间发现的问题总数、问题类别等。</w:t>
      </w:r>
    </w:p>
    <w:p w14:paraId="44503262">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3.3、河湖巡查事件处理：河湖巡查事件处理主要是综合前期巡检图像、无人机巡查、上报、巡检结果报告发现和指出的各类问题进行汇总，经相关负责人在模块上进行审核后，将整改要求自动下派到相关责任人。事件整改结束后，相关责任人将整改结果上报到模块。</w:t>
      </w:r>
    </w:p>
    <w:p w14:paraId="23C694BA">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3.4、巡查大数据智能分析：一段时间后，将形成大量的零散数据，模块将通过巡查大数据智能分析对无人机工作情况、巡查数据结果、工作处理情况、问题分布情况等碎片化数据进行统计分析，形成出大数据分析报告。</w:t>
      </w:r>
    </w:p>
    <w:p w14:paraId="1669EB2B">
      <w:pPr>
        <w:pStyle w:val="24"/>
        <w:spacing w:after="0" w:line="440" w:lineRule="exact"/>
        <w:ind w:left="0"/>
        <w:rPr>
          <w:rFonts w:ascii="宋体" w:hAnsi="宋体" w:cs="宋体"/>
          <w:b/>
          <w:bCs/>
          <w:color w:val="000000" w:themeColor="text1"/>
          <w:sz w:val="24"/>
          <w:szCs w:val="24"/>
          <w:highlight w:val="none"/>
          <w:lang w:bidi="ar"/>
          <w14:textFill>
            <w14:solidFill>
              <w14:schemeClr w14:val="tx1"/>
            </w14:solidFill>
          </w14:textFill>
        </w:rPr>
      </w:pPr>
      <w:r>
        <w:rPr>
          <w:rFonts w:hint="eastAsia" w:ascii="宋体" w:hAnsi="宋体" w:cs="宋体"/>
          <w:b/>
          <w:bCs/>
          <w:color w:val="000000" w:themeColor="text1"/>
          <w:sz w:val="24"/>
          <w:szCs w:val="24"/>
          <w:highlight w:val="none"/>
          <w:lang w:bidi="ar"/>
          <w14:textFill>
            <w14:solidFill>
              <w14:schemeClr w14:val="tx1"/>
            </w14:solidFill>
          </w14:textFill>
        </w:rPr>
        <w:t>“智水琴川”管理平台接入要求如下（此项为平台接入要求，不作技术要求响应）：</w:t>
      </w:r>
    </w:p>
    <w:p w14:paraId="17AC3D69">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1、总体要求：投标人须负责其承建的系统与“智水琴川”管理平台用户中心的对接开发与实施工作。必须采用平台方提供的标准OAuth 2.0授权码模式进行单点登录集成，确保流程的安全性与标准性。对接完成后，用户应能通过“智水琴川”统一门户一次登录，即可无缝访问投标人承建的系统，无需再次输入账号密码。</w:t>
      </w:r>
    </w:p>
    <w:p w14:paraId="61949A1A">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2、核心对接技术要求</w:t>
      </w:r>
    </w:p>
    <w:p w14:paraId="70F97814">
      <w:pPr>
        <w:spacing w:line="440" w:lineRule="exact"/>
        <w:ind w:firstLine="96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2.1、协议与端点规范</w:t>
      </w:r>
    </w:p>
    <w:p w14:paraId="31A8E52D">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必须支持并遵循“智水琴川”平台提供的OAuth 2.0授权码流程；必须使用平台方提供的标准端点进行开发，包括但不限于：（1）授权端点：用于跳转至统一登录页；（2）令牌端点：用于通过授权码换取访问令牌；（3）用户信息端点：用于获取已登录用户的基本信息。</w:t>
      </w:r>
    </w:p>
    <w:p w14:paraId="2CBD5059">
      <w:pPr>
        <w:spacing w:line="440" w:lineRule="exact"/>
        <w:ind w:firstLine="96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2.2、客户端注册与管理</w:t>
      </w:r>
    </w:p>
    <w:p w14:paraId="21BFFA56">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投标人需在系统开发测试前，向“智水琴川”平台方申请注册OAuth 2.0客户端，以获取唯一的客户端ID和客户端密钥。</w:t>
      </w:r>
    </w:p>
    <w:p w14:paraId="62BD2065">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必须准确提供并验证系统的重定向URI，该URI必须在注册列表范围内，以确保安全性。</w:t>
      </w:r>
    </w:p>
    <w:p w14:paraId="7799C112">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3、功能实现要求</w:t>
      </w:r>
    </w:p>
    <w:p w14:paraId="22963639">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投标人承建的系统必须实现以下核心功能模块，以确保单点登录流程的完整与稳定：</w:t>
      </w:r>
    </w:p>
    <w:p w14:paraId="5D81C6D3">
      <w:pPr>
        <w:spacing w:line="440" w:lineRule="exact"/>
        <w:ind w:firstLine="96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3.1、授权请求与跳转：能正确构造并引导用户跳转至“智水琴川”统一认证授权页面；</w:t>
      </w:r>
    </w:p>
    <w:p w14:paraId="5321D435">
      <w:pPr>
        <w:spacing w:line="440" w:lineRule="exact"/>
        <w:ind w:firstLine="96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3.2、授权回调处理：能安全、准确地接收和处理认证中心回调的授权码，并验证State参数。</w:t>
      </w:r>
    </w:p>
    <w:p w14:paraId="0DD36EFB">
      <w:pPr>
        <w:spacing w:line="440" w:lineRule="exact"/>
        <w:ind w:firstLine="96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3.3、令牌管理：能使用授权码向令牌端点换取访问令牌和刷新令牌，并具备令牌的存储、自动刷新及安全销毁能力。</w:t>
      </w:r>
    </w:p>
    <w:p w14:paraId="7B48996B">
      <w:pPr>
        <w:spacing w:line="440" w:lineRule="exact"/>
        <w:ind w:firstLine="96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3.4、用户信息集成：能使用有效的访问令牌从用户信息端点获取用户基本信息（如登录名、姓名等），并据此在本地建立用户会话。</w:t>
      </w:r>
    </w:p>
    <w:p w14:paraId="06C5DDC8">
      <w:pPr>
        <w:spacing w:line="440" w:lineRule="exact"/>
        <w:ind w:firstLine="96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3.5、本地会话管理：能根据获取的用户信息，管理用户在本地系统的登录状态，支持会话超时、安全退出等功能。</w:t>
      </w:r>
    </w:p>
    <w:p w14:paraId="2A20A82C">
      <w:pPr>
        <w:spacing w:line="440" w:lineRule="exact"/>
        <w:ind w:firstLine="720"/>
        <w:rPr>
          <w:rFonts w:ascii="宋体" w:hAnsi="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4、交付测试要求：投标人须在系统部署上线前，完成与“智水琴川”平台用户中心的单点登录联调测试。测试必须覆盖完整的OAuth 2.0授权码流程，包括：正常登录、用户拒绝授权、网络异常、令牌过期刷新、State参数校验失败等多种场景。</w:t>
      </w:r>
    </w:p>
    <w:p w14:paraId="552A2618">
      <w:pPr>
        <w:spacing w:line="440" w:lineRule="exact"/>
        <w:rPr>
          <w:b/>
          <w:color w:val="000000" w:themeColor="text1"/>
          <w:sz w:val="28"/>
          <w:szCs w:val="28"/>
          <w:highlight w:val="none"/>
          <w14:textFill>
            <w14:solidFill>
              <w14:schemeClr w14:val="tx1"/>
            </w14:solidFill>
          </w14:textFill>
        </w:rPr>
      </w:pPr>
      <w:r>
        <w:rPr>
          <w:rFonts w:hint="eastAsia" w:ascii="Times New Roman" w:hAnsi="Times New Roman" w:cs="宋体"/>
          <w:b/>
          <w:color w:val="000000" w:themeColor="text1"/>
          <w:sz w:val="28"/>
          <w:szCs w:val="28"/>
          <w:highlight w:val="none"/>
          <w:lang w:bidi="ar"/>
          <w14:textFill>
            <w14:solidFill>
              <w14:schemeClr w14:val="tx1"/>
            </w14:solidFill>
          </w14:textFill>
        </w:rPr>
        <w:t>四、投标报价要求：</w:t>
      </w:r>
    </w:p>
    <w:p w14:paraId="011A527E">
      <w:pPr>
        <w:spacing w:line="440" w:lineRule="exact"/>
        <w:ind w:firstLine="480"/>
        <w:rPr>
          <w:color w:val="000000" w:themeColor="text1"/>
          <w:sz w:val="24"/>
          <w:szCs w:val="20"/>
          <w:highlight w:val="none"/>
          <w14:textFill>
            <w14:solidFill>
              <w14:schemeClr w14:val="tx1"/>
            </w14:solidFill>
          </w14:textFill>
        </w:rPr>
      </w:pPr>
      <w:bookmarkStart w:id="427" w:name="_Toc517790579"/>
      <w:bookmarkStart w:id="428" w:name="_Toc514507999"/>
      <w:r>
        <w:rPr>
          <w:color w:val="000000" w:themeColor="text1"/>
          <w:sz w:val="24"/>
          <w:szCs w:val="20"/>
          <w:highlight w:val="none"/>
          <w14:textFill>
            <w14:solidFill>
              <w14:schemeClr w14:val="tx1"/>
            </w14:solidFill>
          </w14:textFill>
        </w:rPr>
        <w:t>1</w:t>
      </w:r>
      <w:r>
        <w:rPr>
          <w:rFonts w:hint="eastAsia"/>
          <w:color w:val="000000" w:themeColor="text1"/>
          <w:sz w:val="24"/>
          <w:szCs w:val="20"/>
          <w:highlight w:val="none"/>
          <w14:textFill>
            <w14:solidFill>
              <w14:schemeClr w14:val="tx1"/>
            </w14:solidFill>
          </w14:textFill>
        </w:rPr>
        <w:t>、本项目采购内容为昆承湖幸福河湖建设信息化设备供货、安装、组网、汇聚及质保，投标人须就所有需求内容进行投标，不得拆开投标或只投其中的部分内容，否则作无效投标处理。</w:t>
      </w:r>
    </w:p>
    <w:p w14:paraId="61993B4F">
      <w:pPr>
        <w:spacing w:line="440" w:lineRule="exact"/>
        <w:ind w:firstLine="48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2</w:t>
      </w:r>
      <w:r>
        <w:rPr>
          <w:rFonts w:hint="eastAsia"/>
          <w:color w:val="000000" w:themeColor="text1"/>
          <w:sz w:val="24"/>
          <w:szCs w:val="20"/>
          <w:highlight w:val="none"/>
          <w14:textFill>
            <w14:solidFill>
              <w14:schemeClr w14:val="tx1"/>
            </w14:solidFill>
          </w14:textFill>
        </w:rPr>
        <w:t>、投标人应负责投保安装工程一切险、第三者责任险及投标人施工人员保险，费用包含在投标总价中。</w:t>
      </w:r>
    </w:p>
    <w:p w14:paraId="269E0B3A">
      <w:pPr>
        <w:spacing w:line="440" w:lineRule="exact"/>
        <w:ind w:firstLine="48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3</w:t>
      </w:r>
      <w:r>
        <w:rPr>
          <w:rFonts w:hint="eastAsia"/>
          <w:color w:val="000000" w:themeColor="text1"/>
          <w:sz w:val="24"/>
          <w:szCs w:val="20"/>
          <w:highlight w:val="none"/>
          <w14:textFill>
            <w14:solidFill>
              <w14:schemeClr w14:val="tx1"/>
            </w14:solidFill>
          </w14:textFill>
        </w:rPr>
        <w:t>、投标总价以人民币报价；投标总价包括：货物费（含包装费、运输装卸费及保险费）、安装调试费、质量保证费、中标服务费、售后服务费（含培训费）等和货物本身已支付或将支付的各种税费以及其它交付采购人使用前所产生的所有费用。</w:t>
      </w:r>
    </w:p>
    <w:p w14:paraId="027B8AF9">
      <w:pPr>
        <w:spacing w:line="440" w:lineRule="exact"/>
        <w:ind w:firstLine="480"/>
        <w:rPr>
          <w:color w:val="000000" w:themeColor="text1"/>
          <w:sz w:val="24"/>
          <w:szCs w:val="20"/>
          <w:highlight w:val="none"/>
          <w14:textFill>
            <w14:solidFill>
              <w14:schemeClr w14:val="tx1"/>
            </w14:solidFill>
          </w14:textFill>
        </w:rPr>
      </w:pPr>
      <w:r>
        <w:rPr>
          <w:color w:val="000000" w:themeColor="text1"/>
          <w:sz w:val="24"/>
          <w:szCs w:val="20"/>
          <w:highlight w:val="none"/>
          <w14:textFill>
            <w14:solidFill>
              <w14:schemeClr w14:val="tx1"/>
            </w14:solidFill>
          </w14:textFill>
        </w:rPr>
        <w:t>4</w:t>
      </w:r>
      <w:r>
        <w:rPr>
          <w:rFonts w:hint="eastAsia"/>
          <w:color w:val="000000" w:themeColor="text1"/>
          <w:sz w:val="24"/>
          <w:szCs w:val="20"/>
          <w:highlight w:val="none"/>
          <w14:textFill>
            <w14:solidFill>
              <w14:schemeClr w14:val="tx1"/>
            </w14:solidFill>
          </w14:textFill>
        </w:rPr>
        <w:t>、以上如有涉及品牌或相关规格型号仅供参考，投标人在投标报价时可以选用替代品牌型号，但这些替代要实质上相当于或优于上述技术要求。</w:t>
      </w:r>
      <w:bookmarkEnd w:id="427"/>
      <w:bookmarkEnd w:id="428"/>
    </w:p>
    <w:p w14:paraId="4C067282">
      <w:pPr>
        <w:spacing w:line="440" w:lineRule="exact"/>
        <w:rPr>
          <w:b/>
          <w:color w:val="000000" w:themeColor="text1"/>
          <w:sz w:val="28"/>
          <w:szCs w:val="28"/>
          <w:highlight w:val="none"/>
          <w14:textFill>
            <w14:solidFill>
              <w14:schemeClr w14:val="tx1"/>
            </w14:solidFill>
          </w14:textFill>
        </w:rPr>
      </w:pPr>
      <w:r>
        <w:rPr>
          <w:rFonts w:hint="eastAsia" w:ascii="Times New Roman" w:hAnsi="Times New Roman" w:cs="宋体"/>
          <w:b/>
          <w:color w:val="000000" w:themeColor="text1"/>
          <w:sz w:val="28"/>
          <w:szCs w:val="28"/>
          <w:highlight w:val="none"/>
          <w:lang w:bidi="ar"/>
          <w14:textFill>
            <w14:solidFill>
              <w14:schemeClr w14:val="tx1"/>
            </w14:solidFill>
          </w14:textFill>
        </w:rPr>
        <w:t>五、质量保证及售后服务要求：</w:t>
      </w:r>
    </w:p>
    <w:p w14:paraId="3A37226F">
      <w:pPr>
        <w:spacing w:line="440" w:lineRule="exact"/>
        <w:ind w:firstLine="480"/>
        <w:rPr>
          <w:rFonts w:ascii="Times New Roman" w:hAnsi="Times New Roman"/>
          <w:color w:val="000000" w:themeColor="text1"/>
          <w:sz w:val="24"/>
          <w:szCs w:val="20"/>
          <w:highlight w:val="none"/>
          <w:lang w:bidi="ar"/>
          <w14:textFill>
            <w14:solidFill>
              <w14:schemeClr w14:val="tx1"/>
            </w14:solidFill>
          </w14:textFill>
        </w:rPr>
      </w:pPr>
      <w:r>
        <w:rPr>
          <w:rFonts w:hint="eastAsia" w:ascii="Times New Roman" w:hAnsi="Times New Roman"/>
          <w:color w:val="000000" w:themeColor="text1"/>
          <w:sz w:val="24"/>
          <w:szCs w:val="20"/>
          <w:highlight w:val="none"/>
          <w:lang w:bidi="ar"/>
          <w14:textFill>
            <w14:solidFill>
              <w14:schemeClr w14:val="tx1"/>
            </w14:solidFill>
          </w14:textFill>
        </w:rPr>
        <w:t>1、本项目硬件部分免费质保期不少于2年，配套软件部分免费运维期不少于2年，免费质保期及运维期结束后，投标人应继续为本项目设施维修及软件维护提供远程指导。</w:t>
      </w:r>
    </w:p>
    <w:p w14:paraId="4EE798B7">
      <w:pPr>
        <w:spacing w:line="440" w:lineRule="exact"/>
        <w:ind w:firstLine="480"/>
        <w:rPr>
          <w:color w:val="000000" w:themeColor="text1"/>
          <w:sz w:val="24"/>
          <w:szCs w:val="20"/>
          <w:highlight w:val="none"/>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2</w:t>
      </w:r>
      <w:r>
        <w:rPr>
          <w:rFonts w:hint="eastAsia" w:ascii="Times New Roman" w:hAnsi="Times New Roman" w:cs="宋体"/>
          <w:color w:val="000000" w:themeColor="text1"/>
          <w:sz w:val="24"/>
          <w:szCs w:val="20"/>
          <w:highlight w:val="none"/>
          <w:lang w:bidi="ar"/>
          <w14:textFill>
            <w14:solidFill>
              <w14:schemeClr w14:val="tx1"/>
            </w14:solidFill>
          </w14:textFill>
        </w:rPr>
        <w:t>、在免费质量保证期内，中标人负责维修本次采购的所有设备，对任何因产品设计、材料、产品质量和部件造成的设备或部件损坏进行无偿更换和维修。</w:t>
      </w:r>
    </w:p>
    <w:p w14:paraId="62F35AF8">
      <w:pPr>
        <w:spacing w:line="480" w:lineRule="exact"/>
        <w:ind w:left="-6" w:firstLine="480"/>
        <w:rPr>
          <w:color w:val="000000" w:themeColor="text1"/>
          <w:sz w:val="24"/>
          <w:szCs w:val="20"/>
          <w:highlight w:val="none"/>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3</w:t>
      </w:r>
      <w:r>
        <w:rPr>
          <w:rFonts w:hint="eastAsia" w:ascii="Times New Roman" w:hAnsi="Times New Roman" w:cs="宋体"/>
          <w:color w:val="000000" w:themeColor="text1"/>
          <w:sz w:val="24"/>
          <w:szCs w:val="20"/>
          <w:highlight w:val="none"/>
          <w:lang w:bidi="ar"/>
          <w14:textFill>
            <w14:solidFill>
              <w14:schemeClr w14:val="tx1"/>
            </w14:solidFill>
          </w14:textFill>
        </w:rPr>
        <w:t>、接到故障报修后维修人员</w:t>
      </w:r>
      <w:r>
        <w:rPr>
          <w:rFonts w:ascii="Times New Roman" w:hAnsi="Times New Roman"/>
          <w:color w:val="000000" w:themeColor="text1"/>
          <w:sz w:val="24"/>
          <w:szCs w:val="20"/>
          <w:highlight w:val="none"/>
          <w:lang w:bidi="ar"/>
          <w14:textFill>
            <w14:solidFill>
              <w14:schemeClr w14:val="tx1"/>
            </w14:solidFill>
          </w14:textFill>
        </w:rPr>
        <w:t>3</w:t>
      </w:r>
      <w:r>
        <w:rPr>
          <w:rFonts w:hint="eastAsia" w:ascii="Times New Roman" w:hAnsi="Times New Roman" w:cs="宋体"/>
          <w:color w:val="000000" w:themeColor="text1"/>
          <w:sz w:val="24"/>
          <w:szCs w:val="20"/>
          <w:highlight w:val="none"/>
          <w:lang w:bidi="ar"/>
          <w14:textFill>
            <w14:solidFill>
              <w14:schemeClr w14:val="tx1"/>
            </w14:solidFill>
          </w14:textFill>
        </w:rPr>
        <w:t>小时内到达现场维修。</w:t>
      </w:r>
    </w:p>
    <w:p w14:paraId="67FBDF8C">
      <w:pPr>
        <w:spacing w:line="440" w:lineRule="exact"/>
        <w:ind w:firstLine="480"/>
        <w:rPr>
          <w:color w:val="000000" w:themeColor="text1"/>
          <w:sz w:val="24"/>
          <w:szCs w:val="20"/>
          <w:highlight w:val="none"/>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4</w:t>
      </w:r>
      <w:r>
        <w:rPr>
          <w:rFonts w:hint="eastAsia" w:ascii="Times New Roman" w:hAnsi="Times New Roman" w:cs="宋体"/>
          <w:color w:val="000000" w:themeColor="text1"/>
          <w:sz w:val="24"/>
          <w:szCs w:val="20"/>
          <w:highlight w:val="none"/>
          <w:lang w:bidi="ar"/>
          <w14:textFill>
            <w14:solidFill>
              <w14:schemeClr w14:val="tx1"/>
            </w14:solidFill>
          </w14:textFill>
        </w:rPr>
        <w:t>、中标人需制定相关培训计划，在所有设备安装完成后负责对采购人进行不少于</w:t>
      </w:r>
      <w:r>
        <w:rPr>
          <w:rFonts w:ascii="Times New Roman" w:hAnsi="Times New Roman"/>
          <w:color w:val="000000" w:themeColor="text1"/>
          <w:sz w:val="24"/>
          <w:szCs w:val="20"/>
          <w:highlight w:val="none"/>
          <w:lang w:bidi="ar"/>
          <w14:textFill>
            <w14:solidFill>
              <w14:schemeClr w14:val="tx1"/>
            </w14:solidFill>
          </w14:textFill>
        </w:rPr>
        <w:t>2</w:t>
      </w:r>
      <w:r>
        <w:rPr>
          <w:rFonts w:hint="eastAsia" w:ascii="Times New Roman" w:hAnsi="Times New Roman" w:cs="宋体"/>
          <w:color w:val="000000" w:themeColor="text1"/>
          <w:sz w:val="24"/>
          <w:szCs w:val="20"/>
          <w:highlight w:val="none"/>
          <w:lang w:bidi="ar"/>
          <w14:textFill>
            <w14:solidFill>
              <w14:schemeClr w14:val="tx1"/>
            </w14:solidFill>
          </w14:textFill>
        </w:rPr>
        <w:t>个工作日的日常使用方面的培训，确保系统能够正常、有效地使用。</w:t>
      </w:r>
    </w:p>
    <w:p w14:paraId="079CF1FE">
      <w:pPr>
        <w:spacing w:line="480" w:lineRule="exact"/>
        <w:ind w:left="-6" w:firstLine="480"/>
        <w:rPr>
          <w:color w:val="000000" w:themeColor="text1"/>
          <w:sz w:val="24"/>
          <w:szCs w:val="20"/>
          <w:highlight w:val="none"/>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5</w:t>
      </w:r>
      <w:r>
        <w:rPr>
          <w:rFonts w:hint="eastAsia" w:ascii="Times New Roman" w:hAnsi="Times New Roman" w:cs="宋体"/>
          <w:color w:val="000000" w:themeColor="text1"/>
          <w:sz w:val="24"/>
          <w:szCs w:val="20"/>
          <w:highlight w:val="none"/>
          <w:lang w:bidi="ar"/>
          <w14:textFill>
            <w14:solidFill>
              <w14:schemeClr w14:val="tx1"/>
            </w14:solidFill>
          </w14:textFill>
        </w:rPr>
        <w:t>、中标人须保证所投产品的任何一部分不受第三方提出侵犯其专利权、商标权、知识产权和工业设计权的指控。采购人使用该货物的任何一部分，当受第三方提出的侵犯其专利权、商标权或工业设计权的投诉时，一切后果由供应商负责。</w:t>
      </w:r>
    </w:p>
    <w:p w14:paraId="2492C641">
      <w:pPr>
        <w:spacing w:line="440" w:lineRule="exact"/>
        <w:rPr>
          <w:b/>
          <w:color w:val="000000" w:themeColor="text1"/>
          <w:sz w:val="28"/>
          <w:szCs w:val="28"/>
          <w:highlight w:val="none"/>
          <w14:textFill>
            <w14:solidFill>
              <w14:schemeClr w14:val="tx1"/>
            </w14:solidFill>
          </w14:textFill>
        </w:rPr>
      </w:pPr>
      <w:r>
        <w:rPr>
          <w:rFonts w:hint="eastAsia" w:ascii="Times New Roman" w:hAnsi="Times New Roman" w:cs="宋体"/>
          <w:b/>
          <w:color w:val="000000" w:themeColor="text1"/>
          <w:sz w:val="28"/>
          <w:szCs w:val="28"/>
          <w:highlight w:val="none"/>
          <w:lang w:bidi="ar"/>
          <w14:textFill>
            <w14:solidFill>
              <w14:schemeClr w14:val="tx1"/>
            </w14:solidFill>
          </w14:textFill>
        </w:rPr>
        <w:t>六、验收及测试</w:t>
      </w:r>
    </w:p>
    <w:p w14:paraId="350101CC">
      <w:pPr>
        <w:spacing w:line="480" w:lineRule="exact"/>
        <w:ind w:firstLine="480"/>
        <w:rPr>
          <w:color w:val="000000" w:themeColor="text1"/>
          <w:sz w:val="24"/>
          <w:szCs w:val="20"/>
          <w:highlight w:val="none"/>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1</w:t>
      </w:r>
      <w:r>
        <w:rPr>
          <w:rFonts w:hint="eastAsia" w:ascii="Times New Roman" w:hAnsi="Times New Roman" w:cs="宋体"/>
          <w:color w:val="000000" w:themeColor="text1"/>
          <w:sz w:val="24"/>
          <w:szCs w:val="20"/>
          <w:highlight w:val="none"/>
          <w:lang w:bidi="ar"/>
          <w14:textFill>
            <w14:solidFill>
              <w14:schemeClr w14:val="tx1"/>
            </w14:solidFill>
          </w14:textFill>
        </w:rPr>
        <w:t>、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供应商须承担由此造成的相关损失及违约责任。</w:t>
      </w:r>
    </w:p>
    <w:p w14:paraId="36948AB8">
      <w:pPr>
        <w:spacing w:line="480" w:lineRule="exact"/>
        <w:ind w:firstLine="480"/>
        <w:rPr>
          <w:color w:val="000000" w:themeColor="text1"/>
          <w:sz w:val="24"/>
          <w:szCs w:val="20"/>
          <w:highlight w:val="none"/>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2</w:t>
      </w:r>
      <w:r>
        <w:rPr>
          <w:rFonts w:hint="eastAsia" w:ascii="Times New Roman" w:hAnsi="Times New Roman" w:cs="宋体"/>
          <w:color w:val="000000" w:themeColor="text1"/>
          <w:sz w:val="24"/>
          <w:szCs w:val="20"/>
          <w:highlight w:val="none"/>
          <w:lang w:bidi="ar"/>
          <w14:textFill>
            <w14:solidFill>
              <w14:schemeClr w14:val="tx1"/>
            </w14:solidFill>
          </w14:textFill>
        </w:rPr>
        <w:t>、验收及测试内容包括货物的型号、规格、数量、外观质量、性能功能等是否符合规定，包装是否完好，安装调试是否合格，用户手册、原厂保修卡、随机资料及配件、随机工具等是否齐全。</w:t>
      </w:r>
    </w:p>
    <w:p w14:paraId="102A5F59">
      <w:pPr>
        <w:spacing w:line="480" w:lineRule="exact"/>
        <w:ind w:firstLine="480"/>
        <w:rPr>
          <w:rFonts w:ascii="Times New Roman" w:hAnsi="Times New Roman" w:cs="宋体"/>
          <w:color w:val="000000" w:themeColor="text1"/>
          <w:sz w:val="24"/>
          <w:szCs w:val="20"/>
          <w:highlight w:val="none"/>
          <w:lang w:bidi="ar"/>
          <w14:textFill>
            <w14:solidFill>
              <w14:schemeClr w14:val="tx1"/>
            </w14:solidFill>
          </w14:textFill>
        </w:rPr>
      </w:pPr>
      <w:r>
        <w:rPr>
          <w:rFonts w:ascii="Times New Roman" w:hAnsi="Times New Roman"/>
          <w:color w:val="000000" w:themeColor="text1"/>
          <w:sz w:val="24"/>
          <w:szCs w:val="20"/>
          <w:highlight w:val="none"/>
          <w:lang w:bidi="ar"/>
          <w14:textFill>
            <w14:solidFill>
              <w14:schemeClr w14:val="tx1"/>
            </w14:solidFill>
          </w14:textFill>
        </w:rPr>
        <w:t>3</w:t>
      </w:r>
      <w:r>
        <w:rPr>
          <w:rFonts w:hint="eastAsia" w:ascii="Times New Roman" w:hAnsi="Times New Roman" w:cs="宋体"/>
          <w:color w:val="000000" w:themeColor="text1"/>
          <w:sz w:val="24"/>
          <w:szCs w:val="20"/>
          <w:highlight w:val="none"/>
          <w:lang w:bidi="ar"/>
          <w14:textFill>
            <w14:solidFill>
              <w14:schemeClr w14:val="tx1"/>
            </w14:solidFill>
          </w14:textFill>
        </w:rPr>
        <w:t>、验收标准：</w:t>
      </w:r>
    </w:p>
    <w:p w14:paraId="6166E642">
      <w:pPr>
        <w:spacing w:line="480" w:lineRule="exact"/>
        <w:ind w:firstLine="720"/>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3.1、符合设备本身的规格、技术条件、相关国家标准、招标文件的各项要求以及供应商承诺的其它指标。</w:t>
      </w:r>
    </w:p>
    <w:p w14:paraId="171F5100">
      <w:pPr>
        <w:spacing w:line="480" w:lineRule="exact"/>
        <w:ind w:firstLine="720"/>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3.2、站点及设备的建设符合环保相关验收要求。</w:t>
      </w:r>
    </w:p>
    <w:p w14:paraId="70071905">
      <w:pPr>
        <w:spacing w:line="440" w:lineRule="exact"/>
        <w:rPr>
          <w:b/>
          <w:color w:val="000000" w:themeColor="text1"/>
          <w:sz w:val="28"/>
          <w:szCs w:val="28"/>
          <w:highlight w:val="none"/>
          <w14:textFill>
            <w14:solidFill>
              <w14:schemeClr w14:val="tx1"/>
            </w14:solidFill>
          </w14:textFill>
        </w:rPr>
      </w:pPr>
      <w:r>
        <w:rPr>
          <w:rFonts w:hint="eastAsia" w:ascii="Times New Roman" w:hAnsi="Times New Roman" w:cs="宋体"/>
          <w:b/>
          <w:color w:val="000000" w:themeColor="text1"/>
          <w:sz w:val="28"/>
          <w:szCs w:val="28"/>
          <w:highlight w:val="none"/>
          <w:lang w:bidi="ar"/>
          <w14:textFill>
            <w14:solidFill>
              <w14:schemeClr w14:val="tx1"/>
            </w14:solidFill>
          </w14:textFill>
        </w:rPr>
        <w:t>七、其他要求：</w:t>
      </w:r>
    </w:p>
    <w:p w14:paraId="0DE181DC">
      <w:pPr>
        <w:spacing w:line="440" w:lineRule="exact"/>
        <w:ind w:firstLine="480"/>
        <w:rPr>
          <w:rFonts w:ascii="Times New Roman" w:hAnsi="Times New Roman" w:cs="宋体"/>
          <w:color w:val="000000" w:themeColor="text1"/>
          <w:sz w:val="24"/>
          <w:szCs w:val="24"/>
          <w:highlight w:val="none"/>
          <w:lang w:bidi="ar"/>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1、投标人需为本项目配备项目负责人一名、技术负责人一名、以及其他项目组成员不少于4名。</w:t>
      </w:r>
    </w:p>
    <w:p w14:paraId="2F3756EB">
      <w:pPr>
        <w:spacing w:line="440" w:lineRule="exact"/>
        <w:ind w:firstLine="480"/>
        <w:rPr>
          <w:color w:val="000000" w:themeColor="text1"/>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2、相关材料要求：</w:t>
      </w:r>
      <w:r>
        <w:rPr>
          <w:rFonts w:hint="eastAsia" w:ascii="Times New Roman" w:hAnsi="Times New Roman" w:cs="宋体"/>
          <w:color w:val="000000" w:themeColor="text1"/>
          <w:sz w:val="24"/>
          <w:szCs w:val="20"/>
          <w:highlight w:val="none"/>
          <w:lang w:bidi="ar"/>
          <w14:textFill>
            <w14:solidFill>
              <w14:schemeClr w14:val="tx1"/>
            </w14:solidFill>
          </w14:textFill>
        </w:rPr>
        <w:t>投标人应在投标文件中提供“</w:t>
      </w:r>
      <w:r>
        <w:rPr>
          <w:rFonts w:ascii="Arial" w:hAnsi="Arial" w:cs="Arial"/>
          <w:color w:val="000000" w:themeColor="text1"/>
          <w:sz w:val="24"/>
          <w:szCs w:val="24"/>
          <w:highlight w:val="none"/>
          <w14:textFill>
            <w14:solidFill>
              <w14:schemeClr w14:val="tx1"/>
            </w14:solidFill>
          </w14:textFill>
        </w:rPr>
        <w:t>▲</w:t>
      </w:r>
      <w:r>
        <w:rPr>
          <w:rFonts w:hint="eastAsia" w:ascii="Times New Roman" w:hAnsi="Times New Roman" w:cs="宋体"/>
          <w:color w:val="000000" w:themeColor="text1"/>
          <w:sz w:val="24"/>
          <w:szCs w:val="20"/>
          <w:highlight w:val="none"/>
          <w:lang w:bidi="ar"/>
          <w14:textFill>
            <w14:solidFill>
              <w14:schemeClr w14:val="tx1"/>
            </w14:solidFill>
          </w14:textFill>
        </w:rPr>
        <w:t>”</w:t>
      </w:r>
      <w:r>
        <w:rPr>
          <w:rFonts w:hint="eastAsia" w:ascii="宋体" w:hAnsi="宋体" w:cs="宋体"/>
          <w:color w:val="000000" w:themeColor="text1"/>
          <w:sz w:val="24"/>
          <w:szCs w:val="24"/>
          <w:highlight w:val="none"/>
          <w:lang w:bidi="ar"/>
          <w14:textFill>
            <w14:solidFill>
              <w14:schemeClr w14:val="tx1"/>
            </w14:solidFill>
          </w14:textFill>
        </w:rPr>
        <w:t>条款的</w:t>
      </w:r>
      <w:r>
        <w:rPr>
          <w:rFonts w:hint="eastAsia" w:ascii="Times New Roman" w:hAnsi="Times New Roman" w:cs="宋体"/>
          <w:color w:val="000000" w:themeColor="text1"/>
          <w:sz w:val="24"/>
          <w:szCs w:val="20"/>
          <w:highlight w:val="none"/>
          <w:lang w:bidi="ar"/>
          <w14:textFill>
            <w14:solidFill>
              <w14:schemeClr w14:val="tx1"/>
            </w14:solidFill>
          </w14:textFill>
        </w:rPr>
        <w:t>相关资料，用于核对技术性能参数的符合性，如未提供，相关技术性能参数视为负偏离：</w:t>
      </w:r>
    </w:p>
    <w:p w14:paraId="17BF6481">
      <w:pPr>
        <w:spacing w:line="440" w:lineRule="exact"/>
        <w:rPr>
          <w:b/>
          <w:strike/>
          <w:color w:val="000000" w:themeColor="text1"/>
          <w:sz w:val="24"/>
          <w:szCs w:val="24"/>
          <w:highlight w:val="none"/>
          <w14:textFill>
            <w14:solidFill>
              <w14:schemeClr w14:val="tx1"/>
            </w14:solidFill>
          </w14:textFill>
        </w:rPr>
      </w:pPr>
      <w:r>
        <w:rPr>
          <w:rFonts w:hint="eastAsia" w:ascii="Times New Roman" w:hAnsi="Times New Roman" w:cs="宋体"/>
          <w:b/>
          <w:color w:val="000000" w:themeColor="text1"/>
          <w:sz w:val="24"/>
          <w:szCs w:val="24"/>
          <w:highlight w:val="none"/>
          <w:lang w:bidi="ar"/>
          <w14:textFill>
            <w14:solidFill>
              <w14:schemeClr w14:val="tx1"/>
            </w14:solidFill>
          </w14:textFill>
        </w:rPr>
        <w:t>注：（</w:t>
      </w:r>
      <w:r>
        <w:rPr>
          <w:rFonts w:ascii="Times New Roman" w:hAnsi="Times New Roman"/>
          <w:b/>
          <w:color w:val="000000" w:themeColor="text1"/>
          <w:sz w:val="24"/>
          <w:szCs w:val="24"/>
          <w:highlight w:val="none"/>
          <w:lang w:bidi="ar"/>
          <w14:textFill>
            <w14:solidFill>
              <w14:schemeClr w14:val="tx1"/>
            </w14:solidFill>
          </w14:textFill>
        </w:rPr>
        <w:t>1</w:t>
      </w:r>
      <w:r>
        <w:rPr>
          <w:rFonts w:hint="eastAsia" w:ascii="Times New Roman" w:hAnsi="Times New Roman" w:cs="宋体"/>
          <w:b/>
          <w:color w:val="000000" w:themeColor="text1"/>
          <w:sz w:val="24"/>
          <w:szCs w:val="24"/>
          <w:highlight w:val="none"/>
          <w:lang w:bidi="ar"/>
          <w14:textFill>
            <w14:solidFill>
              <w14:schemeClr w14:val="tx1"/>
            </w14:solidFill>
          </w14:textFill>
        </w:rPr>
        <w:t>）</w:t>
      </w:r>
      <w:r>
        <w:rPr>
          <w:rFonts w:hint="eastAsia" w:ascii="Times New Roman" w:hAnsi="Times New Roman" w:cs="宋体"/>
          <w:b/>
          <w:color w:val="000000" w:themeColor="text1"/>
          <w:sz w:val="24"/>
          <w:szCs w:val="20"/>
          <w:highlight w:val="none"/>
          <w:lang w:bidi="ar"/>
          <w14:textFill>
            <w14:solidFill>
              <w14:schemeClr w14:val="tx1"/>
            </w14:solidFill>
          </w14:textFill>
        </w:rPr>
        <w:t>在签订合同时，中标人必须提供以上相关技术性能参数检验（检测）报告复印件，作为合同附件，采购人可要求提供相关原件（或公证件）进行核查，</w:t>
      </w:r>
      <w:r>
        <w:rPr>
          <w:rFonts w:hint="eastAsia" w:ascii="Times New Roman" w:hAnsi="Times New Roman" w:cs="宋体"/>
          <w:b/>
          <w:color w:val="000000" w:themeColor="text1"/>
          <w:sz w:val="24"/>
          <w:szCs w:val="24"/>
          <w:highlight w:val="none"/>
          <w:lang w:bidi="ar"/>
          <w14:textFill>
            <w14:solidFill>
              <w14:schemeClr w14:val="tx1"/>
            </w14:solidFill>
          </w14:textFill>
        </w:rPr>
        <w:t>如中标人不能提供或不符合招标要求，中标人承担相应责任。</w:t>
      </w:r>
    </w:p>
    <w:p w14:paraId="7DB9444F">
      <w:pPr>
        <w:spacing w:line="440" w:lineRule="exact"/>
        <w:ind w:firstLine="602"/>
        <w:rPr>
          <w:b/>
          <w:color w:val="000000" w:themeColor="text1"/>
          <w:sz w:val="24"/>
          <w:szCs w:val="24"/>
          <w:highlight w:val="none"/>
          <w14:textFill>
            <w14:solidFill>
              <w14:schemeClr w14:val="tx1"/>
            </w14:solidFill>
          </w14:textFill>
        </w:rPr>
      </w:pPr>
      <w:r>
        <w:rPr>
          <w:rFonts w:hint="eastAsia" w:ascii="Times New Roman" w:hAnsi="Times New Roman" w:cs="宋体"/>
          <w:b/>
          <w:color w:val="000000" w:themeColor="text1"/>
          <w:sz w:val="24"/>
          <w:szCs w:val="24"/>
          <w:highlight w:val="none"/>
          <w:lang w:bidi="ar"/>
          <w14:textFill>
            <w14:solidFill>
              <w14:schemeClr w14:val="tx1"/>
            </w14:solidFill>
          </w14:textFill>
        </w:rPr>
        <w:t>（</w:t>
      </w:r>
      <w:r>
        <w:rPr>
          <w:rFonts w:ascii="Times New Roman" w:hAnsi="Times New Roman"/>
          <w:b/>
          <w:color w:val="000000" w:themeColor="text1"/>
          <w:sz w:val="24"/>
          <w:szCs w:val="24"/>
          <w:highlight w:val="none"/>
          <w:lang w:bidi="ar"/>
          <w14:textFill>
            <w14:solidFill>
              <w14:schemeClr w14:val="tx1"/>
            </w14:solidFill>
          </w14:textFill>
        </w:rPr>
        <w:t>2</w:t>
      </w:r>
      <w:r>
        <w:rPr>
          <w:rFonts w:hint="eastAsia" w:ascii="Times New Roman" w:hAnsi="Times New Roman" w:cs="宋体"/>
          <w:b/>
          <w:color w:val="000000" w:themeColor="text1"/>
          <w:sz w:val="24"/>
          <w:szCs w:val="24"/>
          <w:highlight w:val="none"/>
          <w:lang w:bidi="ar"/>
          <w14:textFill>
            <w14:solidFill>
              <w14:schemeClr w14:val="tx1"/>
            </w14:solidFill>
          </w14:textFill>
        </w:rPr>
        <w:t>）投标人应确保投标文件中提供的相关性能参数的证明材料扫描件清晰可见，以便评委评判，如投标人提供的相关性能参数的证明材料扫描件模糊不清无法辨识，相关风险由投标人承担。</w:t>
      </w:r>
    </w:p>
    <w:p w14:paraId="50D111A9">
      <w:pPr>
        <w:spacing w:line="440" w:lineRule="exact"/>
        <w:ind w:firstLine="480"/>
        <w:rPr>
          <w:rFonts w:ascii="Times New Roman" w:hAnsi="Times New Roman"/>
          <w:color w:val="000000" w:themeColor="text1"/>
          <w:sz w:val="24"/>
          <w:szCs w:val="24"/>
          <w:highlight w:val="none"/>
          <w:lang w:bidi="ar"/>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3、本项目的售后服务由投标人提供，售后服务单位应具有售后服务能力。</w:t>
      </w:r>
    </w:p>
    <w:p w14:paraId="48437000">
      <w:pPr>
        <w:spacing w:line="440" w:lineRule="exact"/>
        <w:ind w:firstLine="480"/>
        <w:rPr>
          <w:rFonts w:ascii="Times New Roman" w:hAnsi="Times New Roman"/>
          <w:color w:val="000000" w:themeColor="text1"/>
          <w:sz w:val="24"/>
          <w:szCs w:val="24"/>
          <w:highlight w:val="none"/>
          <w:lang w:bidi="ar"/>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4、本项目需求中的技术参数或功能要求并非是详尽无遗的，无论是否提及，投标人均应提供所有采购文件没有要求但投标人认为完成本项目必须的附件或服务，并应在投标明细表中一一列明。投标文件中响应的技术参数（功能）指标必须确保真实。</w:t>
      </w:r>
    </w:p>
    <w:p w14:paraId="40F7D631">
      <w:pPr>
        <w:spacing w:line="440" w:lineRule="exact"/>
        <w:ind w:firstLine="482"/>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5</w:t>
      </w:r>
      <w:r>
        <w:rPr>
          <w:rFonts w:ascii="宋体" w:hAnsi="宋体"/>
          <w:b/>
          <w:bCs/>
          <w:color w:val="000000" w:themeColor="text1"/>
          <w:sz w:val="24"/>
          <w:szCs w:val="24"/>
          <w:highlight w:val="none"/>
          <w14:textFill>
            <w14:solidFill>
              <w14:schemeClr w14:val="tx1"/>
            </w14:solidFill>
          </w14:textFill>
        </w:rPr>
        <w:t>、实质性</w:t>
      </w:r>
      <w:r>
        <w:rPr>
          <w:rFonts w:hint="eastAsia" w:ascii="宋体" w:hAnsi="宋体"/>
          <w:b/>
          <w:bCs/>
          <w:color w:val="000000" w:themeColor="text1"/>
          <w:sz w:val="24"/>
          <w:szCs w:val="24"/>
          <w:highlight w:val="none"/>
          <w14:textFill>
            <w14:solidFill>
              <w14:schemeClr w14:val="tx1"/>
            </w14:solidFill>
          </w14:textFill>
        </w:rPr>
        <w:t>要求：</w:t>
      </w:r>
      <w:r>
        <w:rPr>
          <w:rFonts w:hint="eastAsia" w:ascii="宋体" w:hAnsi="宋体" w:cs="宋体"/>
          <w:b/>
          <w:bCs/>
          <w:color w:val="000000" w:themeColor="text1"/>
          <w:sz w:val="24"/>
          <w:szCs w:val="24"/>
          <w:highlight w:val="none"/>
          <w14:textFill>
            <w14:solidFill>
              <w14:schemeClr w14:val="tx1"/>
            </w14:solidFill>
          </w14:textFill>
        </w:rPr>
        <w:t>“第四章  采购需求”中，斜体且有下划线部分为实质性要求，其余的均为常规要求，</w:t>
      </w:r>
      <w:r>
        <w:rPr>
          <w:rFonts w:hint="eastAsia" w:ascii="Times New Roman" w:hAnsi="Times New Roman"/>
          <w:b/>
          <w:bCs/>
          <w:color w:val="000000" w:themeColor="text1"/>
          <w:sz w:val="24"/>
          <w:szCs w:val="24"/>
          <w:highlight w:val="none"/>
          <w14:textFill>
            <w14:solidFill>
              <w14:schemeClr w14:val="tx1"/>
            </w14:solidFill>
          </w14:textFill>
        </w:rPr>
        <w:t>任何一项</w:t>
      </w:r>
      <w:r>
        <w:rPr>
          <w:rFonts w:hint="eastAsia"/>
          <w:b/>
          <w:bCs/>
          <w:color w:val="000000" w:themeColor="text1"/>
          <w:sz w:val="24"/>
          <w:highlight w:val="none"/>
          <w14:textFill>
            <w14:solidFill>
              <w14:schemeClr w14:val="tx1"/>
            </w14:solidFill>
          </w14:textFill>
        </w:rPr>
        <w:t>实质性要求</w:t>
      </w:r>
      <w:r>
        <w:rPr>
          <w:rFonts w:hint="eastAsia" w:ascii="Times New Roman" w:hAnsi="Times New Roman"/>
          <w:b/>
          <w:bCs/>
          <w:color w:val="000000" w:themeColor="text1"/>
          <w:sz w:val="24"/>
          <w:szCs w:val="24"/>
          <w:highlight w:val="none"/>
          <w14:textFill>
            <w14:solidFill>
              <w14:schemeClr w14:val="tx1"/>
            </w14:solidFill>
          </w14:textFill>
        </w:rPr>
        <w:t>未满足的，</w:t>
      </w:r>
      <w:r>
        <w:rPr>
          <w:rFonts w:hint="eastAsia" w:ascii="Times New Roman" w:hAnsi="Times New Roman"/>
          <w:b/>
          <w:bCs/>
          <w:color w:val="000000" w:themeColor="text1"/>
          <w:sz w:val="24"/>
          <w:highlight w:val="none"/>
          <w14:textFill>
            <w14:solidFill>
              <w14:schemeClr w14:val="tx1"/>
            </w14:solidFill>
          </w14:textFill>
        </w:rPr>
        <w:t>将作无效投标处理</w:t>
      </w:r>
      <w:r>
        <w:rPr>
          <w:rFonts w:hint="eastAsia" w:ascii="宋体" w:hAnsi="宋体"/>
          <w:b/>
          <w:bCs/>
          <w:color w:val="000000" w:themeColor="text1"/>
          <w:sz w:val="24"/>
          <w:szCs w:val="24"/>
          <w:highlight w:val="none"/>
          <w14:textFill>
            <w14:solidFill>
              <w14:schemeClr w14:val="tx1"/>
            </w14:solidFill>
          </w14:textFill>
        </w:rPr>
        <w:t>。</w:t>
      </w:r>
    </w:p>
    <w:p w14:paraId="6AAF0849">
      <w:pPr>
        <w:spacing w:line="440" w:lineRule="exact"/>
        <w:rPr>
          <w:b/>
          <w:color w:val="000000" w:themeColor="text1"/>
          <w:sz w:val="28"/>
          <w:szCs w:val="28"/>
          <w:highlight w:val="none"/>
          <w14:textFill>
            <w14:solidFill>
              <w14:schemeClr w14:val="tx1"/>
            </w14:solidFill>
          </w14:textFill>
        </w:rPr>
      </w:pPr>
      <w:r>
        <w:rPr>
          <w:rFonts w:hint="eastAsia" w:ascii="Times New Roman" w:hAnsi="Times New Roman" w:cs="宋体"/>
          <w:b/>
          <w:color w:val="000000" w:themeColor="text1"/>
          <w:sz w:val="28"/>
          <w:szCs w:val="28"/>
          <w:highlight w:val="none"/>
          <w:lang w:bidi="ar"/>
          <w14:textFill>
            <w14:solidFill>
              <w14:schemeClr w14:val="tx1"/>
            </w14:solidFill>
          </w14:textFill>
        </w:rPr>
        <w:t>八、附件：</w:t>
      </w:r>
    </w:p>
    <w:p w14:paraId="501F13B3">
      <w:pPr>
        <w:spacing w:line="480" w:lineRule="exact"/>
        <w:ind w:firstLine="482"/>
        <w:jc w:val="left"/>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1、昆承湖幸福河湖建设信息化设备项目图纸</w:t>
      </w:r>
    </w:p>
    <w:p w14:paraId="6D2E5949">
      <w:pPr>
        <w:spacing w:line="480" w:lineRule="exact"/>
        <w:ind w:firstLine="482"/>
        <w:jc w:val="left"/>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链接：https://pan.baidu.com/s/10_6XcjE6z0y65D6hPu78iQ</w:t>
      </w:r>
    </w:p>
    <w:p w14:paraId="23C81F22">
      <w:pPr>
        <w:spacing w:line="480" w:lineRule="exact"/>
        <w:ind w:firstLine="482"/>
        <w:jc w:val="left"/>
        <w:rPr>
          <w:rFonts w:ascii="宋体" w:hAnsi="宋体" w:cs="宋体"/>
          <w:b/>
          <w:color w:val="000000" w:themeColor="text1"/>
          <w:sz w:val="24"/>
          <w:szCs w:val="20"/>
          <w:highlight w:val="none"/>
          <w14:textFill>
            <w14:solidFill>
              <w14:schemeClr w14:val="tx1"/>
            </w14:solidFill>
          </w14:textFill>
        </w:rPr>
      </w:pPr>
      <w:r>
        <w:rPr>
          <w:rFonts w:hint="eastAsia" w:ascii="宋体" w:hAnsi="宋体" w:cs="宋体"/>
          <w:b/>
          <w:color w:val="000000" w:themeColor="text1"/>
          <w:sz w:val="24"/>
          <w:szCs w:val="20"/>
          <w:highlight w:val="none"/>
          <w14:textFill>
            <w14:solidFill>
              <w14:schemeClr w14:val="tx1"/>
            </w14:solidFill>
          </w14:textFill>
        </w:rPr>
        <w:t>提取码：8f37</w:t>
      </w:r>
    </w:p>
    <w:p w14:paraId="6087112F">
      <w:pPr>
        <w:pStyle w:val="24"/>
        <w:rPr>
          <w:color w:val="000000" w:themeColor="text1"/>
          <w:highlight w:val="none"/>
          <w14:textFill>
            <w14:solidFill>
              <w14:schemeClr w14:val="tx1"/>
            </w14:solidFill>
          </w14:textFill>
        </w:rPr>
      </w:pPr>
    </w:p>
    <w:p w14:paraId="64505717">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D9C41C0">
      <w:pPr>
        <w:keepNext/>
        <w:ind w:firstLine="880"/>
        <w:jc w:val="center"/>
        <w:outlineLvl w:val="0"/>
        <w:rPr>
          <w:rFonts w:ascii="黑体" w:hAnsi="Courier New" w:eastAsia="黑体" w:cs="Courier New"/>
          <w:bCs/>
          <w:color w:val="000000" w:themeColor="text1"/>
          <w:sz w:val="44"/>
          <w:szCs w:val="21"/>
          <w:highlight w:val="none"/>
          <w14:textFill>
            <w14:solidFill>
              <w14:schemeClr w14:val="tx1"/>
            </w14:solidFill>
          </w14:textFill>
        </w:rPr>
      </w:pPr>
      <w:bookmarkStart w:id="429" w:name="_Toc20352"/>
      <w:bookmarkStart w:id="430" w:name="_Toc25208"/>
      <w:bookmarkStart w:id="431" w:name="_Toc15917"/>
      <w:bookmarkStart w:id="432" w:name="_Toc1389"/>
      <w:bookmarkStart w:id="433" w:name="_Toc21287"/>
      <w:r>
        <w:rPr>
          <w:rFonts w:hint="eastAsia" w:ascii="黑体" w:hAnsi="Courier New" w:eastAsia="黑体" w:cs="Courier New"/>
          <w:bCs/>
          <w:color w:val="000000" w:themeColor="text1"/>
          <w:sz w:val="44"/>
          <w:szCs w:val="21"/>
          <w:highlight w:val="none"/>
          <w14:textFill>
            <w14:solidFill>
              <w14:schemeClr w14:val="tx1"/>
            </w14:solidFill>
          </w14:textFill>
        </w:rPr>
        <w:t>第五章  评审因素和评分标准</w:t>
      </w:r>
      <w:bookmarkEnd w:id="429"/>
      <w:bookmarkEnd w:id="430"/>
      <w:bookmarkEnd w:id="431"/>
      <w:bookmarkEnd w:id="432"/>
      <w:bookmarkEnd w:id="433"/>
    </w:p>
    <w:p w14:paraId="120F03F9">
      <w:pPr>
        <w:spacing w:line="440" w:lineRule="exact"/>
        <w:rPr>
          <w:b/>
          <w:bCs/>
          <w:color w:val="000000" w:themeColor="text1"/>
          <w:sz w:val="28"/>
          <w:highlight w:val="none"/>
          <w14:textFill>
            <w14:solidFill>
              <w14:schemeClr w14:val="tx1"/>
            </w14:solidFill>
          </w14:textFill>
        </w:rPr>
      </w:pPr>
      <w:r>
        <w:rPr>
          <w:b/>
          <w:bCs/>
          <w:color w:val="000000" w:themeColor="text1"/>
          <w:sz w:val="28"/>
          <w:highlight w:val="none"/>
          <w14:textFill>
            <w14:solidFill>
              <w14:schemeClr w14:val="tx1"/>
            </w14:solidFill>
          </w14:textFill>
        </w:rPr>
        <w:t>一、评审方法：</w:t>
      </w:r>
    </w:p>
    <w:p w14:paraId="3F88345E">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本项目采用综合评分法。评标结果按</w:t>
      </w:r>
      <w:r>
        <w:rPr>
          <w:color w:val="000000" w:themeColor="text1"/>
          <w:sz w:val="24"/>
          <w:szCs w:val="24"/>
          <w:highlight w:val="none"/>
          <w14:textFill>
            <w14:solidFill>
              <w14:schemeClr w14:val="tx1"/>
            </w14:solidFill>
          </w14:textFill>
        </w:rPr>
        <w:t>评审后得分由高到低顺序排列。得分相同的，按投标报价由低到高顺序排列。得分且投标报价相同的</w:t>
      </w:r>
      <w:r>
        <w:rPr>
          <w:rFonts w:hint="eastAsia"/>
          <w:color w:val="000000" w:themeColor="text1"/>
          <w:sz w:val="24"/>
          <w:szCs w:val="24"/>
          <w:highlight w:val="none"/>
          <w14:textFill>
            <w14:solidFill>
              <w14:schemeClr w14:val="tx1"/>
            </w14:solidFill>
          </w14:textFill>
        </w:rPr>
        <w:t>，则由评标委员会组织抽签确定。</w:t>
      </w:r>
    </w:p>
    <w:p w14:paraId="68F16CF3">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2、评委会根据排列情况将推荐前三名为中标候选人，并根据采购人委托</w:t>
      </w:r>
      <w:r>
        <w:rPr>
          <w:rFonts w:hint="eastAsia"/>
          <w:color w:val="000000" w:themeColor="text1"/>
          <w:sz w:val="24"/>
          <w:szCs w:val="24"/>
          <w:highlight w:val="none"/>
          <w14:textFill>
            <w14:solidFill>
              <w14:schemeClr w14:val="tx1"/>
            </w14:solidFill>
          </w14:textFill>
        </w:rPr>
        <w:t>直接</w:t>
      </w:r>
      <w:r>
        <w:rPr>
          <w:color w:val="000000" w:themeColor="text1"/>
          <w:sz w:val="24"/>
          <w:szCs w:val="24"/>
          <w:highlight w:val="none"/>
          <w14:textFill>
            <w14:solidFill>
              <w14:schemeClr w14:val="tx1"/>
            </w14:solidFill>
          </w14:textFill>
        </w:rPr>
        <w:t>确定排名第一的中标候选人为中标人。</w:t>
      </w:r>
    </w:p>
    <w:p w14:paraId="76C33F20">
      <w:pPr>
        <w:spacing w:line="440" w:lineRule="exact"/>
        <w:ind w:firstLine="480"/>
        <w:rPr>
          <w:rFonts w:hint="eastAsia"/>
          <w:b/>
          <w:bCs/>
          <w:color w:val="000000" w:themeColor="text1"/>
          <w:sz w:val="24"/>
          <w:szCs w:val="24"/>
          <w:highlight w:val="none"/>
          <w:lang w:val="en-US" w:eastAsia="zh-CN"/>
          <w14:textFill>
            <w14:solidFill>
              <w14:schemeClr w14:val="tx1"/>
            </w14:solidFill>
          </w14:textFill>
        </w:rPr>
      </w:pPr>
      <w:r>
        <w:rPr>
          <w:rFonts w:hint="eastAsia"/>
          <w:b/>
          <w:bCs/>
          <w:color w:val="000000" w:themeColor="text1"/>
          <w:sz w:val="24"/>
          <w:szCs w:val="24"/>
          <w:highlight w:val="none"/>
          <w:lang w:val="en-US" w:eastAsia="zh-CN"/>
          <w14:textFill>
            <w14:solidFill>
              <w14:schemeClr w14:val="tx1"/>
            </w14:solidFill>
          </w14:textFill>
        </w:rPr>
        <w:t>3、本项目核心产品为“高锰酸盐指数在线监测仪”，提供相同品牌产品且通过资格审查、符合性审查的不同投标人参加同一合同项下投标的，按一家投标人计算，评审后得分最高的同品牌投标人获得中标人推荐资格；评审得分相同的，由评委会根据招标文件规定的方式（招标文件未规定的采取随机抽取的方式）确定一个中标候选人，其他同品牌投标人不作为中标候选人。</w:t>
      </w:r>
    </w:p>
    <w:p w14:paraId="223F5E89">
      <w:pPr>
        <w:spacing w:line="440" w:lineRule="exact"/>
        <w:rPr>
          <w:b/>
          <w:bCs/>
          <w:color w:val="000000" w:themeColor="text1"/>
          <w:sz w:val="28"/>
          <w:highlight w:val="none"/>
          <w14:textFill>
            <w14:solidFill>
              <w14:schemeClr w14:val="tx1"/>
            </w14:solidFill>
          </w14:textFill>
        </w:rPr>
      </w:pPr>
      <w:r>
        <w:rPr>
          <w:b/>
          <w:bCs/>
          <w:color w:val="000000" w:themeColor="text1"/>
          <w:sz w:val="28"/>
          <w:highlight w:val="none"/>
          <w14:textFill>
            <w14:solidFill>
              <w14:schemeClr w14:val="tx1"/>
            </w14:solidFill>
          </w14:textFill>
        </w:rPr>
        <w:t>二、评审因素、权值及评分标准：</w:t>
      </w:r>
    </w:p>
    <w:p w14:paraId="2CE2DB69">
      <w:pPr>
        <w:spacing w:line="440" w:lineRule="exact"/>
        <w:ind w:firstLine="470"/>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注：每部分的得分保留小数点后两位，合计得分保留小数点后两位。</w:t>
      </w:r>
    </w:p>
    <w:p w14:paraId="22874D60">
      <w:pPr>
        <w:spacing w:line="440" w:lineRule="exact"/>
        <w:ind w:firstLine="472"/>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1、投标报价</w:t>
      </w:r>
      <w:r>
        <w:rPr>
          <w:rFonts w:hint="eastAsia"/>
          <w:b/>
          <w:bCs/>
          <w:color w:val="000000" w:themeColor="text1"/>
          <w:sz w:val="24"/>
          <w:highlight w:val="none"/>
          <w14:textFill>
            <w14:solidFill>
              <w14:schemeClr w14:val="tx1"/>
            </w14:solidFill>
          </w14:textFill>
        </w:rPr>
        <w:t>40</w:t>
      </w:r>
      <w:r>
        <w:rPr>
          <w:b/>
          <w:bCs/>
          <w:color w:val="000000" w:themeColor="text1"/>
          <w:sz w:val="24"/>
          <w:highlight w:val="none"/>
          <w14:textFill>
            <w14:solidFill>
              <w14:schemeClr w14:val="tx1"/>
            </w14:solidFill>
          </w14:textFill>
        </w:rPr>
        <w:t>分</w:t>
      </w:r>
    </w:p>
    <w:p w14:paraId="36556098">
      <w:pPr>
        <w:spacing w:line="440" w:lineRule="exact"/>
        <w:ind w:firstLine="482"/>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满足招标文件要求且投标价格最低的投标报价为评标基准价，其价格分为40分；其他投标人的价格分按下列公式计算：投标报价得分＝（评标基准价／投标报价）×40分。</w:t>
      </w:r>
    </w:p>
    <w:p w14:paraId="381CFE50">
      <w:pPr>
        <w:spacing w:line="440" w:lineRule="exact"/>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w:t>
      </w:r>
      <w:r>
        <w:rPr>
          <w:rFonts w:ascii="宋体" w:hAnsi="宋体" w:cs="宋体"/>
          <w:color w:val="000000" w:themeColor="text1"/>
          <w:sz w:val="24"/>
          <w:szCs w:val="24"/>
          <w:highlight w:val="none"/>
          <w14:textFill>
            <w14:solidFill>
              <w14:schemeClr w14:val="tx1"/>
            </w14:solidFill>
          </w14:textFill>
        </w:rPr>
        <w:t>评审过程中出现下列情形之一的，评审委员会应当启动异常低价投标（响应）审查程序：1</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投标（响应）报价低于采购项目预算50%的，即投标（响应）报价&lt;采购项目预算×50%；2</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投标（响应）报价低于采购项目最高限价45%的，即投标（响应）报价&lt;采购项目最高限价×45%；3</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评审委员会认定的供应商报价过低、有可能影响产品质量或者不能诚信履约的其他情形。</w:t>
      </w:r>
    </w:p>
    <w:p w14:paraId="6EA77A89">
      <w:pPr>
        <w:spacing w:line="440" w:lineRule="exact"/>
        <w:ind w:firstLine="480" w:firstLineChars="200"/>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125B2F57">
      <w:pPr>
        <w:spacing w:line="440" w:lineRule="exact"/>
        <w:ind w:firstLine="482"/>
        <w:rPr>
          <w:b/>
          <w:color w:val="000000" w:themeColor="text1"/>
          <w:sz w:val="24"/>
          <w:szCs w:val="20"/>
          <w:highlight w:val="none"/>
          <w14:textFill>
            <w14:solidFill>
              <w14:schemeClr w14:val="tx1"/>
            </w14:solidFill>
          </w14:textFill>
        </w:rPr>
      </w:pPr>
      <w:r>
        <w:rPr>
          <w:b/>
          <w:color w:val="000000" w:themeColor="text1"/>
          <w:sz w:val="24"/>
          <w:szCs w:val="20"/>
          <w:highlight w:val="none"/>
          <w14:textFill>
            <w14:solidFill>
              <w14:schemeClr w14:val="tx1"/>
            </w14:solidFill>
          </w14:textFill>
        </w:rPr>
        <w:t>2</w:t>
      </w:r>
      <w:r>
        <w:rPr>
          <w:rFonts w:hint="eastAsia"/>
          <w:b/>
          <w:color w:val="000000" w:themeColor="text1"/>
          <w:sz w:val="24"/>
          <w:szCs w:val="20"/>
          <w:highlight w:val="none"/>
          <w14:textFill>
            <w14:solidFill>
              <w14:schemeClr w14:val="tx1"/>
            </w14:solidFill>
          </w14:textFill>
        </w:rPr>
        <w:t>、</w:t>
      </w:r>
      <w:r>
        <w:rPr>
          <w:rFonts w:hint="eastAsia" w:ascii="Times New Roman" w:hAnsi="Times New Roman"/>
          <w:b/>
          <w:color w:val="000000" w:themeColor="text1"/>
          <w:sz w:val="24"/>
          <w:szCs w:val="24"/>
          <w:highlight w:val="none"/>
          <w:lang w:bidi="ar"/>
          <w14:textFill>
            <w14:solidFill>
              <w14:schemeClr w14:val="tx1"/>
            </w14:solidFill>
          </w14:textFill>
        </w:rPr>
        <w:t>投标货物质量性能</w:t>
      </w:r>
      <w:r>
        <w:rPr>
          <w:rFonts w:hint="eastAsia"/>
          <w:b/>
          <w:color w:val="000000" w:themeColor="text1"/>
          <w:sz w:val="24"/>
          <w:szCs w:val="20"/>
          <w:highlight w:val="none"/>
          <w14:textFill>
            <w14:solidFill>
              <w14:schemeClr w14:val="tx1"/>
            </w14:solidFill>
          </w14:textFill>
        </w:rPr>
        <w:t>39分</w:t>
      </w:r>
    </w:p>
    <w:tbl>
      <w:tblPr>
        <w:tblStyle w:val="42"/>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1436"/>
        <w:gridCol w:w="874"/>
        <w:gridCol w:w="6156"/>
      </w:tblGrid>
      <w:tr w14:paraId="23A10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810" w:type="dxa"/>
            <w:tcBorders>
              <w:top w:val="single" w:color="000000" w:sz="4" w:space="0"/>
              <w:left w:val="single" w:color="000000" w:sz="4" w:space="0"/>
              <w:bottom w:val="single" w:color="000000" w:sz="4" w:space="0"/>
              <w:right w:val="single" w:color="000000" w:sz="4" w:space="0"/>
            </w:tcBorders>
            <w:noWrap w:val="0"/>
          </w:tcPr>
          <w:p w14:paraId="734E6DAA">
            <w:pPr>
              <w:spacing w:line="440" w:lineRule="exact"/>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序号</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3BD8B7C6">
            <w:pPr>
              <w:spacing w:line="440" w:lineRule="exact"/>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评分因素</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471950B">
            <w:pPr>
              <w:spacing w:line="440" w:lineRule="exact"/>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分值</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14:paraId="29A6649E">
            <w:pPr>
              <w:spacing w:line="440" w:lineRule="exact"/>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评分标准</w:t>
            </w:r>
          </w:p>
        </w:tc>
      </w:tr>
      <w:tr w14:paraId="3BC37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5" w:hRule="atLeast"/>
          <w:jc w:val="center"/>
        </w:trPr>
        <w:tc>
          <w:tcPr>
            <w:tcW w:w="810" w:type="dxa"/>
            <w:tcBorders>
              <w:top w:val="single" w:color="000000" w:sz="4" w:space="0"/>
              <w:left w:val="single" w:color="000000" w:sz="4" w:space="0"/>
              <w:bottom w:val="single" w:color="000000" w:sz="4" w:space="0"/>
              <w:right w:val="single" w:color="000000" w:sz="4" w:space="0"/>
            </w:tcBorders>
            <w:noWrap w:val="0"/>
            <w:vAlign w:val="center"/>
          </w:tcPr>
          <w:p w14:paraId="0C88785C">
            <w:pPr>
              <w:spacing w:line="440" w:lineRule="exact"/>
              <w:jc w:val="center"/>
              <w:rPr>
                <w:rFonts w:asciiTheme="minorEastAsia" w:hAnsiTheme="minorEastAsia" w:eastAsiaTheme="minorEastAsia"/>
                <w:color w:val="000000" w:themeColor="text1"/>
                <w:sz w:val="24"/>
                <w:szCs w:val="20"/>
                <w:highlight w:val="none"/>
                <w14:textFill>
                  <w14:solidFill>
                    <w14:schemeClr w14:val="tx1"/>
                  </w14:solidFill>
                </w14:textFill>
              </w:rPr>
            </w:pPr>
            <w:r>
              <w:rPr>
                <w:rFonts w:hint="eastAsia" w:asciiTheme="minorEastAsia" w:hAnsiTheme="minorEastAsia" w:eastAsiaTheme="minorEastAsia"/>
                <w:color w:val="000000" w:themeColor="text1"/>
                <w:sz w:val="24"/>
                <w:szCs w:val="20"/>
                <w:highlight w:val="none"/>
                <w14:textFill>
                  <w14:solidFill>
                    <w14:schemeClr w14:val="tx1"/>
                  </w14:solidFill>
                </w14:textFill>
              </w:rPr>
              <w:t>1</w:t>
            </w:r>
          </w:p>
        </w:tc>
        <w:tc>
          <w:tcPr>
            <w:tcW w:w="1436" w:type="dxa"/>
            <w:tcBorders>
              <w:top w:val="single" w:color="000000" w:sz="4" w:space="0"/>
              <w:left w:val="single" w:color="000000" w:sz="4" w:space="0"/>
              <w:bottom w:val="single" w:color="000000" w:sz="4" w:space="0"/>
              <w:right w:val="single" w:color="000000" w:sz="4" w:space="0"/>
            </w:tcBorders>
            <w:noWrap w:val="0"/>
            <w:vAlign w:val="center"/>
          </w:tcPr>
          <w:p w14:paraId="17E1177B">
            <w:pPr>
              <w:jc w:val="center"/>
              <w:rPr>
                <w:rFonts w:asciiTheme="minorEastAsia" w:hAnsiTheme="minorEastAsia" w:eastAsiaTheme="minorEastAsia"/>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技术性能参数响应性</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C00E273">
            <w:pPr>
              <w:jc w:val="center"/>
              <w:rPr>
                <w:rFonts w:asciiTheme="minorEastAsia" w:hAnsiTheme="minorEastAsia" w:eastAsiaTheme="minorEastAsia"/>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39</w:t>
            </w:r>
            <w:r>
              <w:rPr>
                <w:rFonts w:hint="eastAsia" w:ascii="Times New Roman" w:hAnsi="Times New Roman" w:cs="宋体"/>
                <w:color w:val="000000" w:themeColor="text1"/>
                <w:sz w:val="24"/>
                <w:szCs w:val="24"/>
                <w:highlight w:val="none"/>
                <w:lang w:bidi="ar"/>
                <w14:textFill>
                  <w14:solidFill>
                    <w14:schemeClr w14:val="tx1"/>
                  </w14:solidFill>
                </w14:textFill>
              </w:rPr>
              <w:t>分</w:t>
            </w:r>
          </w:p>
        </w:tc>
        <w:tc>
          <w:tcPr>
            <w:tcW w:w="6156" w:type="dxa"/>
            <w:tcBorders>
              <w:top w:val="single" w:color="000000" w:sz="4" w:space="0"/>
              <w:left w:val="single" w:color="000000" w:sz="4" w:space="0"/>
              <w:bottom w:val="single" w:color="000000" w:sz="4" w:space="0"/>
              <w:right w:val="single" w:color="000000" w:sz="4" w:space="0"/>
            </w:tcBorders>
            <w:noWrap w:val="0"/>
            <w:vAlign w:val="center"/>
          </w:tcPr>
          <w:p w14:paraId="55AB9EBB">
            <w:pPr>
              <w:rPr>
                <w:rFonts w:ascii="Times New Roman" w:hAnsi="Times New Roman" w:cs="宋体"/>
                <w:color w:val="000000" w:themeColor="text1"/>
                <w:sz w:val="24"/>
                <w:szCs w:val="20"/>
                <w:highlight w:val="none"/>
                <w:lang w:bidi="ar"/>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投标货物的技术性能参数（</w:t>
            </w:r>
            <w:r>
              <w:rPr>
                <w:rFonts w:hint="eastAsia" w:ascii="Times New Roman" w:hAnsi="Times New Roman" w:cs="宋体"/>
                <w:color w:val="000000" w:themeColor="text1"/>
                <w:sz w:val="24"/>
                <w:szCs w:val="20"/>
                <w:highlight w:val="none"/>
                <w:lang w:val="en-US" w:eastAsia="zh-CN" w:bidi="ar"/>
                <w14:textFill>
                  <w14:solidFill>
                    <w14:schemeClr w14:val="tx1"/>
                  </w14:solidFill>
                </w14:textFill>
              </w:rPr>
              <w:t>208</w:t>
            </w:r>
            <w:r>
              <w:rPr>
                <w:rFonts w:hint="eastAsia" w:ascii="Times New Roman" w:hAnsi="Times New Roman" w:cs="宋体"/>
                <w:color w:val="000000" w:themeColor="text1"/>
                <w:sz w:val="24"/>
                <w:szCs w:val="20"/>
                <w:highlight w:val="none"/>
                <w:lang w:bidi="ar"/>
                <w14:textFill>
                  <w14:solidFill>
                    <w14:schemeClr w14:val="tx1"/>
                  </w14:solidFill>
                </w14:textFill>
              </w:rPr>
              <w:t>条）全部满足招标要求的得基本分3</w:t>
            </w:r>
            <w:r>
              <w:rPr>
                <w:rFonts w:ascii="Times New Roman" w:hAnsi="Times New Roman" w:cs="宋体"/>
                <w:color w:val="000000" w:themeColor="text1"/>
                <w:sz w:val="24"/>
                <w:szCs w:val="20"/>
                <w:highlight w:val="none"/>
                <w:lang w:bidi="ar"/>
                <w14:textFill>
                  <w14:solidFill>
                    <w14:schemeClr w14:val="tx1"/>
                  </w14:solidFill>
                </w14:textFill>
              </w:rPr>
              <w:t>9</w:t>
            </w:r>
            <w:r>
              <w:rPr>
                <w:rFonts w:hint="eastAsia" w:ascii="Times New Roman" w:hAnsi="Times New Roman" w:cs="宋体"/>
                <w:color w:val="000000" w:themeColor="text1"/>
                <w:sz w:val="24"/>
                <w:szCs w:val="20"/>
                <w:highlight w:val="none"/>
                <w:lang w:bidi="ar"/>
                <w14:textFill>
                  <w14:solidFill>
                    <w14:schemeClr w14:val="tx1"/>
                  </w14:solidFill>
                </w14:textFill>
              </w:rPr>
              <w:t>分；标“</w:t>
            </w:r>
            <w:r>
              <w:rPr>
                <w:rFonts w:ascii="Arial" w:hAnsi="Arial" w:cs="Arial"/>
                <w:color w:val="000000" w:themeColor="text1"/>
                <w:sz w:val="24"/>
                <w:szCs w:val="24"/>
                <w:highlight w:val="none"/>
                <w14:textFill>
                  <w14:solidFill>
                    <w14:schemeClr w14:val="tx1"/>
                  </w14:solidFill>
                </w14:textFill>
              </w:rPr>
              <w:t>▲</w:t>
            </w:r>
            <w:r>
              <w:rPr>
                <w:rFonts w:hint="eastAsia" w:ascii="Times New Roman" w:hAnsi="Times New Roman" w:cs="宋体"/>
                <w:color w:val="000000" w:themeColor="text1"/>
                <w:sz w:val="24"/>
                <w:szCs w:val="20"/>
                <w:highlight w:val="none"/>
                <w:lang w:bidi="ar"/>
                <w14:textFill>
                  <w14:solidFill>
                    <w14:schemeClr w14:val="tx1"/>
                  </w14:solidFill>
                </w14:textFill>
              </w:rPr>
              <w:t>”参数（</w:t>
            </w:r>
            <w:r>
              <w:rPr>
                <w:rFonts w:hint="eastAsia" w:ascii="Times New Roman" w:hAnsi="Times New Roman" w:cs="宋体"/>
                <w:color w:val="000000" w:themeColor="text1"/>
                <w:sz w:val="24"/>
                <w:szCs w:val="20"/>
                <w:highlight w:val="none"/>
                <w:lang w:val="en-US" w:eastAsia="zh-CN" w:bidi="ar"/>
                <w14:textFill>
                  <w14:solidFill>
                    <w14:schemeClr w14:val="tx1"/>
                  </w14:solidFill>
                </w14:textFill>
              </w:rPr>
              <w:t>13</w:t>
            </w:r>
            <w:r>
              <w:rPr>
                <w:rFonts w:hint="eastAsia" w:ascii="Times New Roman" w:hAnsi="Times New Roman" w:cs="宋体"/>
                <w:color w:val="000000" w:themeColor="text1"/>
                <w:sz w:val="24"/>
                <w:szCs w:val="20"/>
                <w:highlight w:val="none"/>
                <w:lang w:bidi="ar"/>
                <w14:textFill>
                  <w14:solidFill>
                    <w14:schemeClr w14:val="tx1"/>
                  </w14:solidFill>
                </w14:textFill>
              </w:rPr>
              <w:t>条）存在负偏离的，每有1条扣1.5分；其余参数（</w:t>
            </w:r>
            <w:r>
              <w:rPr>
                <w:rFonts w:hint="eastAsia" w:ascii="Times New Roman" w:hAnsi="Times New Roman" w:cs="宋体"/>
                <w:color w:val="000000" w:themeColor="text1"/>
                <w:sz w:val="24"/>
                <w:szCs w:val="20"/>
                <w:highlight w:val="none"/>
                <w:lang w:val="en-US" w:eastAsia="zh-CN" w:bidi="ar"/>
                <w14:textFill>
                  <w14:solidFill>
                    <w14:schemeClr w14:val="tx1"/>
                  </w14:solidFill>
                </w14:textFill>
              </w:rPr>
              <w:t>195</w:t>
            </w:r>
            <w:r>
              <w:rPr>
                <w:rFonts w:hint="eastAsia" w:ascii="Times New Roman" w:hAnsi="Times New Roman" w:cs="宋体"/>
                <w:color w:val="000000" w:themeColor="text1"/>
                <w:sz w:val="24"/>
                <w:szCs w:val="20"/>
                <w:highlight w:val="none"/>
                <w:lang w:bidi="ar"/>
                <w14:textFill>
                  <w14:solidFill>
                    <w14:schemeClr w14:val="tx1"/>
                  </w14:solidFill>
                </w14:textFill>
              </w:rPr>
              <w:t>条）存在负偏离的，每有1条扣</w:t>
            </w:r>
            <w:r>
              <w:rPr>
                <w:rFonts w:hint="eastAsia" w:ascii="Times New Roman" w:hAnsi="Times New Roman" w:cs="宋体"/>
                <w:color w:val="000000" w:themeColor="text1"/>
                <w:sz w:val="24"/>
                <w:szCs w:val="20"/>
                <w:highlight w:val="none"/>
                <w:lang w:val="en-US" w:eastAsia="zh-CN" w:bidi="ar"/>
                <w14:textFill>
                  <w14:solidFill>
                    <w14:schemeClr w14:val="tx1"/>
                  </w14:solidFill>
                </w14:textFill>
              </w:rPr>
              <w:t>0.1</w:t>
            </w:r>
            <w:r>
              <w:rPr>
                <w:rFonts w:hint="eastAsia" w:ascii="Times New Roman" w:hAnsi="Times New Roman" w:cs="宋体"/>
                <w:color w:val="000000" w:themeColor="text1"/>
                <w:sz w:val="24"/>
                <w:szCs w:val="20"/>
                <w:highlight w:val="none"/>
                <w:lang w:bidi="ar"/>
                <w14:textFill>
                  <w14:solidFill>
                    <w14:schemeClr w14:val="tx1"/>
                  </w14:solidFill>
                </w14:textFill>
              </w:rPr>
              <w:t>分。</w:t>
            </w:r>
          </w:p>
          <w:p w14:paraId="13966FC2">
            <w:pPr>
              <w:rPr>
                <w:rFonts w:asciiTheme="minorEastAsia" w:hAnsiTheme="minorEastAsia" w:eastAsiaTheme="minorEastAsia"/>
                <w:color w:val="000000" w:themeColor="text1"/>
                <w:sz w:val="24"/>
                <w:szCs w:val="20"/>
                <w:highlight w:val="none"/>
                <w14:textFill>
                  <w14:solidFill>
                    <w14:schemeClr w14:val="tx1"/>
                  </w14:solidFill>
                </w14:textFill>
              </w:rPr>
            </w:pPr>
            <w:r>
              <w:rPr>
                <w:rFonts w:hint="eastAsia" w:ascii="Times New Roman" w:hAnsi="Times New Roman" w:cs="宋体"/>
                <w:b/>
                <w:color w:val="000000" w:themeColor="text1"/>
                <w:sz w:val="24"/>
                <w:szCs w:val="24"/>
                <w:highlight w:val="none"/>
                <w:lang w:bidi="ar"/>
                <w14:textFill>
                  <w14:solidFill>
                    <w14:schemeClr w14:val="tx1"/>
                  </w14:solidFill>
                </w14:textFill>
              </w:rPr>
              <w:t>注：</w:t>
            </w:r>
            <w:r>
              <w:rPr>
                <w:rFonts w:hint="eastAsia" w:ascii="Times New Roman" w:hAnsi="Times New Roman" w:cs="宋体"/>
                <w:b/>
                <w:bCs/>
                <w:color w:val="000000" w:themeColor="text1"/>
                <w:sz w:val="24"/>
                <w:szCs w:val="24"/>
                <w:highlight w:val="none"/>
                <w14:textFill>
                  <w14:solidFill>
                    <w14:schemeClr w14:val="tx1"/>
                  </w14:solidFill>
                </w14:textFill>
              </w:rPr>
              <w:t>标“</w:t>
            </w:r>
            <w:r>
              <w:rPr>
                <w:rFonts w:ascii="Arial" w:hAnsi="Arial" w:cs="Arial"/>
                <w:color w:val="000000" w:themeColor="text1"/>
                <w:sz w:val="24"/>
                <w:szCs w:val="24"/>
                <w:highlight w:val="none"/>
                <w14:textFill>
                  <w14:solidFill>
                    <w14:schemeClr w14:val="tx1"/>
                  </w14:solidFill>
                </w14:textFill>
              </w:rPr>
              <w:t>▲</w:t>
            </w:r>
            <w:r>
              <w:rPr>
                <w:rFonts w:hint="eastAsia" w:ascii="Times New Roman" w:hAnsi="Times New Roman" w:cs="宋体"/>
                <w:b/>
                <w:bCs/>
                <w:color w:val="000000" w:themeColor="text1"/>
                <w:sz w:val="24"/>
                <w:szCs w:val="24"/>
                <w:highlight w:val="none"/>
                <w14:textFill>
                  <w14:solidFill>
                    <w14:schemeClr w14:val="tx1"/>
                  </w14:solidFill>
                </w14:textFill>
              </w:rPr>
              <w:t>”的参数需按招标文件要求在投标文件中提供相关证明材料作为佐证，未提供相关证明材料或提供的证明材料无法佐证的，相关技术性能参数视为负偏离。</w:t>
            </w:r>
          </w:p>
        </w:tc>
      </w:tr>
    </w:tbl>
    <w:p w14:paraId="4A7ABA4B">
      <w:pPr>
        <w:spacing w:line="440" w:lineRule="exact"/>
        <w:ind w:firstLine="482"/>
        <w:rPr>
          <w:b/>
          <w:color w:val="000000" w:themeColor="text1"/>
          <w:sz w:val="24"/>
          <w:szCs w:val="20"/>
          <w:highlight w:val="none"/>
          <w14:textFill>
            <w14:solidFill>
              <w14:schemeClr w14:val="tx1"/>
            </w14:solidFill>
          </w14:textFill>
        </w:rPr>
      </w:pPr>
      <w:r>
        <w:rPr>
          <w:b/>
          <w:color w:val="000000" w:themeColor="text1"/>
          <w:sz w:val="24"/>
          <w:szCs w:val="20"/>
          <w:highlight w:val="none"/>
          <w14:textFill>
            <w14:solidFill>
              <w14:schemeClr w14:val="tx1"/>
            </w14:solidFill>
          </w14:textFill>
        </w:rPr>
        <w:t>3</w:t>
      </w:r>
      <w:r>
        <w:rPr>
          <w:rFonts w:hint="eastAsia"/>
          <w:b/>
          <w:color w:val="000000" w:themeColor="text1"/>
          <w:sz w:val="24"/>
          <w:szCs w:val="20"/>
          <w:highlight w:val="none"/>
          <w14:textFill>
            <w14:solidFill>
              <w14:schemeClr w14:val="tx1"/>
            </w14:solidFill>
          </w14:textFill>
        </w:rPr>
        <w:t>、项目实施方案13分</w:t>
      </w:r>
    </w:p>
    <w:tbl>
      <w:tblPr>
        <w:tblStyle w:val="42"/>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477"/>
        <w:gridCol w:w="851"/>
        <w:gridCol w:w="6170"/>
      </w:tblGrid>
      <w:tr w14:paraId="67BDB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B25E33F">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序号</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5365E955">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评分因素</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3E4D059">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分值</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4EB9CA81">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评分标准</w:t>
            </w:r>
          </w:p>
        </w:tc>
      </w:tr>
      <w:tr w14:paraId="2307C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238D1628">
            <w:pPr>
              <w:spacing w:line="240" w:lineRule="atLeas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321CBDBA">
            <w:pPr>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bidi="ar"/>
                <w14:textFill>
                  <w14:solidFill>
                    <w14:schemeClr w14:val="tx1"/>
                  </w14:solidFill>
                </w14:textFill>
              </w:rPr>
              <w:t>供货计划及保障措施方案</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AD8EF5E">
            <w:pPr>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bidi="ar"/>
                <w14:textFill>
                  <w14:solidFill>
                    <w14:schemeClr w14:val="tx1"/>
                  </w14:solidFill>
                </w14:textFill>
              </w:rPr>
              <w:t>1分</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7E1280B9">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0"/>
                <w:highlight w:val="none"/>
                <w:lang w:bidi="ar"/>
                <w14:textFill>
                  <w14:solidFill>
                    <w14:schemeClr w14:val="tx1"/>
                  </w14:solidFill>
                </w14:textFill>
              </w:rPr>
              <w:t>根据投标人供货进度计划、保障措施方案综合评定，方案内容详细、科学合理，切实可行的得1分；方案内容合理、满足项目实施的得0.5分；未作说明的不得分。</w:t>
            </w:r>
          </w:p>
        </w:tc>
      </w:tr>
      <w:tr w14:paraId="318EE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5C9C98C1">
            <w:pPr>
              <w:spacing w:line="240" w:lineRule="atLeas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49BC08C0">
            <w:pPr>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lang w:bidi="ar"/>
                <w14:textFill>
                  <w14:solidFill>
                    <w14:schemeClr w14:val="tx1"/>
                  </w14:solidFill>
                </w14:textFill>
              </w:rPr>
              <w:t>安装调试方案</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572E0CB">
            <w:pPr>
              <w:spacing w:line="480" w:lineRule="exac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0"/>
                <w:highlight w:val="none"/>
                <w:lang w:bidi="ar"/>
                <w14:textFill>
                  <w14:solidFill>
                    <w14:schemeClr w14:val="tx1"/>
                  </w14:solidFill>
                </w14:textFill>
              </w:rPr>
              <w:t>2分</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213FCD14">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0"/>
                <w:highlight w:val="none"/>
                <w:lang w:bidi="ar"/>
                <w14:textFill>
                  <w14:solidFill>
                    <w14:schemeClr w14:val="tx1"/>
                  </w14:solidFill>
                </w14:textFill>
              </w:rPr>
              <w:t>根据投标人的安装调试方案进行综合评定，方案内容详细、科学合理，切实可行的得2分；方案内容合理、满足项目实施的得1分；未作说明的不得分。</w:t>
            </w:r>
          </w:p>
        </w:tc>
      </w:tr>
      <w:tr w14:paraId="75BAF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65"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5754E78">
            <w:pPr>
              <w:spacing w:line="440" w:lineRule="exact"/>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6A2DADE9">
            <w:pPr>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lang w:eastAsia="zh-Hans"/>
                <w14:textFill>
                  <w14:solidFill>
                    <w14:schemeClr w14:val="tx1"/>
                  </w14:solidFill>
                </w14:textFill>
              </w:rPr>
              <w:t>断面水质</w:t>
            </w:r>
            <w:r>
              <w:rPr>
                <w:rFonts w:hint="eastAsia" w:ascii="宋体" w:hAnsi="宋体" w:cs="宋体"/>
                <w:color w:val="000000" w:themeColor="text1"/>
                <w:sz w:val="24"/>
                <w:highlight w:val="none"/>
                <w14:textFill>
                  <w14:solidFill>
                    <w14:schemeClr w14:val="tx1"/>
                  </w14:solidFill>
                </w14:textFill>
              </w:rPr>
              <w:t>分析方案</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E81DBF1">
            <w:pPr>
              <w:jc w:val="center"/>
              <w:rPr>
                <w:rFonts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2分</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70DBF4EB">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根据投标人提供的</w:t>
            </w:r>
            <w:bookmarkStart w:id="434" w:name="_Toc1228818781"/>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Hans"/>
                <w14:textFill>
                  <w14:solidFill>
                    <w14:schemeClr w14:val="tx1"/>
                  </w14:solidFill>
                </w14:textFill>
              </w:rPr>
              <w:t>断面水质</w:t>
            </w:r>
            <w:r>
              <w:rPr>
                <w:rFonts w:hint="eastAsia" w:ascii="宋体" w:hAnsi="宋体" w:cs="宋体"/>
                <w:color w:val="000000" w:themeColor="text1"/>
                <w:sz w:val="24"/>
                <w:szCs w:val="24"/>
                <w:highlight w:val="none"/>
                <w14:textFill>
                  <w14:solidFill>
                    <w14:schemeClr w14:val="tx1"/>
                  </w14:solidFill>
                </w14:textFill>
              </w:rPr>
              <w:t>分析模块”</w:t>
            </w:r>
            <w:bookmarkEnd w:id="434"/>
            <w:r>
              <w:rPr>
                <w:rFonts w:hint="eastAsia" w:ascii="宋体" w:hAnsi="宋体" w:cs="宋体"/>
                <w:color w:val="000000" w:themeColor="text1"/>
                <w:sz w:val="24"/>
                <w:szCs w:val="24"/>
                <w:highlight w:val="none"/>
                <w14:textFill>
                  <w14:solidFill>
                    <w14:schemeClr w14:val="tx1"/>
                  </w14:solidFill>
                </w14:textFill>
              </w:rPr>
              <w:t>实施方案</w:t>
            </w:r>
            <w:r>
              <w:rPr>
                <w:rFonts w:hint="eastAsia" w:ascii="宋体" w:hAnsi="宋体" w:cs="宋体"/>
                <w:color w:val="000000" w:themeColor="text1"/>
                <w:sz w:val="24"/>
                <w:szCs w:val="24"/>
                <w:highlight w:val="none"/>
                <w:lang w:eastAsia="zh-Hans"/>
                <w14:textFill>
                  <w14:solidFill>
                    <w14:schemeClr w14:val="tx1"/>
                  </w14:solidFill>
                </w14:textFill>
              </w:rPr>
              <w:t>进行</w:t>
            </w:r>
            <w:r>
              <w:rPr>
                <w:rFonts w:hint="eastAsia" w:ascii="宋体" w:hAnsi="宋体" w:cs="宋体"/>
                <w:color w:val="000000" w:themeColor="text1"/>
                <w:sz w:val="24"/>
                <w:szCs w:val="24"/>
                <w:highlight w:val="none"/>
                <w14:textFill>
                  <w14:solidFill>
                    <w14:schemeClr w14:val="tx1"/>
                  </w14:solidFill>
                </w14:textFill>
              </w:rPr>
              <w:t>评定，方案内容详细、完整，优于项目需求的得2分；方案符合本项目需求得1分。未作说明的不得分。</w:t>
            </w:r>
          </w:p>
        </w:tc>
      </w:tr>
      <w:tr w14:paraId="7C8FC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3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14BCCDC1">
            <w:pPr>
              <w:spacing w:line="440" w:lineRule="exac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59E7EBE4">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防汛决策</w:t>
            </w:r>
            <w:r>
              <w:rPr>
                <w:rFonts w:hint="eastAsia" w:ascii="宋体" w:hAnsi="宋体" w:cs="宋体"/>
                <w:color w:val="000000" w:themeColor="text1"/>
                <w:sz w:val="24"/>
                <w:highlight w:val="none"/>
                <w14:textFill>
                  <w14:solidFill>
                    <w14:schemeClr w14:val="tx1"/>
                  </w14:solidFill>
                </w14:textFill>
              </w:rPr>
              <w:t>方案</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2BA51B8">
            <w:pPr>
              <w:spacing w:line="480" w:lineRule="exac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2分</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40195D1C">
            <w:pP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根据投标人提供的“防汛决策模块”实施方案进行评定，方案内容详细、完整，优于项目需求的得2分；方案符合本项目需求得1分。未作说明的不得分。</w:t>
            </w:r>
          </w:p>
        </w:tc>
      </w:tr>
      <w:tr w14:paraId="40DF9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3"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0FBF4437">
            <w:pPr>
              <w:spacing w:line="440" w:lineRule="exac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41125F4B">
            <w:pPr>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无人机巡查处置</w:t>
            </w:r>
            <w:r>
              <w:rPr>
                <w:rFonts w:hint="eastAsia" w:ascii="宋体" w:hAnsi="宋体" w:cs="宋体"/>
                <w:color w:val="000000" w:themeColor="text1"/>
                <w:sz w:val="24"/>
                <w:highlight w:val="none"/>
                <w14:textFill>
                  <w14:solidFill>
                    <w14:schemeClr w14:val="tx1"/>
                  </w14:solidFill>
                </w14:textFill>
              </w:rPr>
              <w:t>方案</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BCF222">
            <w:pPr>
              <w:spacing w:line="480" w:lineRule="exac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2分</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62911CBE">
            <w:pPr>
              <w:widowControl/>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根据投标人提供的“无人机巡查处置模块”实施方案进行评定，方案内容详细、完整，优于项目需求的得2分；方案符合本项目需求得1分。未作说明的不得分。</w:t>
            </w:r>
          </w:p>
        </w:tc>
      </w:tr>
      <w:tr w14:paraId="0FD0A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9"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1B39DE85">
            <w:pPr>
              <w:spacing w:line="440" w:lineRule="exact"/>
              <w:jc w:val="center"/>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4DB8CE17">
            <w:pPr>
              <w:jc w:val="center"/>
              <w:rPr>
                <w:rFonts w:ascii="宋体" w:hAnsi="宋体" w:cs="宋体"/>
                <w:color w:val="000000" w:themeColor="text1"/>
                <w:sz w:val="24"/>
                <w:szCs w:val="20"/>
                <w:highlight w:val="none"/>
                <w:lang w:bidi="ar"/>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t>人员配备</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5E9295F">
            <w:pPr>
              <w:widowControl/>
              <w:jc w:val="cente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4</w:t>
            </w:r>
            <w:r>
              <w:rPr>
                <w:rFonts w:hint="eastAsia"/>
                <w:color w:val="000000" w:themeColor="text1"/>
                <w:sz w:val="24"/>
                <w:szCs w:val="24"/>
                <w:highlight w:val="none"/>
                <w14:textFill>
                  <w14:solidFill>
                    <w14:schemeClr w14:val="tx1"/>
                  </w14:solidFill>
                </w14:textFill>
              </w:rPr>
              <w:t>分</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5C070682">
            <w:pPr>
              <w:widowControl/>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根据投标人针对本项目配备的项目组成员进行评定：</w:t>
            </w:r>
          </w:p>
          <w:p w14:paraId="243CED2F">
            <w:pPr>
              <w:widowControl/>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w:t>
            </w: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）项目负责人：具有水利/计算机/电子通讯领域方向高级工程师及以上职称证书（或对应层级技术资格证书）的得</w:t>
            </w: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分，未提供的不得分；</w:t>
            </w:r>
          </w:p>
          <w:p w14:paraId="01C5D83D">
            <w:pPr>
              <w:widowControl/>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（2）技术负责人：具有水利/计算机/电子通讯领域方向高级工程师及以上职称证书（或对应层级技术资格证书）的得</w:t>
            </w:r>
            <w:r>
              <w:rPr>
                <w:color w:val="000000" w:themeColor="text1"/>
                <w:sz w:val="24"/>
                <w:szCs w:val="24"/>
                <w:highlight w:val="none"/>
                <w14:textFill>
                  <w14:solidFill>
                    <w14:schemeClr w14:val="tx1"/>
                  </w14:solidFill>
                </w14:textFill>
              </w:rPr>
              <w:t>1</w:t>
            </w:r>
            <w:r>
              <w:rPr>
                <w:rFonts w:hint="eastAsia"/>
                <w:color w:val="000000" w:themeColor="text1"/>
                <w:sz w:val="24"/>
                <w:szCs w:val="24"/>
                <w:highlight w:val="none"/>
                <w14:textFill>
                  <w14:solidFill>
                    <w14:schemeClr w14:val="tx1"/>
                  </w14:solidFill>
                </w14:textFill>
              </w:rPr>
              <w:t>分，未提供的不得分；</w:t>
            </w:r>
          </w:p>
          <w:p w14:paraId="581DFDAE">
            <w:pPr>
              <w:widowControl/>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（3）其他成员（项目负责人、技术负责人除外）：具有水利/计算机/电子通讯领域方向中级及以上职称证书（或对应层级技术资格证书）或研究生学历（水利/计算机/电子通讯领域方向）的每有1人得</w:t>
            </w:r>
            <w:r>
              <w:rPr>
                <w:color w:val="000000" w:themeColor="text1"/>
                <w:sz w:val="24"/>
                <w:szCs w:val="24"/>
                <w:highlight w:val="none"/>
                <w14:textFill>
                  <w14:solidFill>
                    <w14:schemeClr w14:val="tx1"/>
                  </w14:solidFill>
                </w14:textFill>
              </w:rPr>
              <w:t>0.5</w:t>
            </w:r>
            <w:r>
              <w:rPr>
                <w:rFonts w:hint="eastAsia"/>
                <w:color w:val="000000" w:themeColor="text1"/>
                <w:sz w:val="24"/>
                <w:szCs w:val="24"/>
                <w:highlight w:val="none"/>
                <w14:textFill>
                  <w14:solidFill>
                    <w14:schemeClr w14:val="tx1"/>
                  </w14:solidFill>
                </w14:textFill>
              </w:rPr>
              <w:t>分，最高得2分。</w:t>
            </w:r>
          </w:p>
          <w:p w14:paraId="304D95A2">
            <w:pPr>
              <w:widowControl/>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注：①投标文件中须提供上述人员相关证书及投标人为其缴纳的近三个月中任意一个月的社保证明扫描件，否则不得分。</w:t>
            </w:r>
          </w:p>
          <w:p w14:paraId="1BFC808D">
            <w:pPr>
              <w:widowControl/>
              <w:ind w:firstLine="480"/>
              <w:jc w:val="lef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②上述人员证书不重复计算。</w:t>
            </w:r>
          </w:p>
        </w:tc>
      </w:tr>
    </w:tbl>
    <w:p w14:paraId="4E40B3AA">
      <w:pPr>
        <w:spacing w:line="440" w:lineRule="exact"/>
        <w:ind w:firstLine="482"/>
        <w:rPr>
          <w:b/>
          <w:color w:val="000000" w:themeColor="text1"/>
          <w:sz w:val="24"/>
          <w:szCs w:val="20"/>
          <w:highlight w:val="none"/>
          <w14:textFill>
            <w14:solidFill>
              <w14:schemeClr w14:val="tx1"/>
            </w14:solidFill>
          </w14:textFill>
        </w:rPr>
      </w:pPr>
      <w:r>
        <w:rPr>
          <w:b/>
          <w:color w:val="000000" w:themeColor="text1"/>
          <w:sz w:val="24"/>
          <w:szCs w:val="20"/>
          <w:highlight w:val="none"/>
          <w14:textFill>
            <w14:solidFill>
              <w14:schemeClr w14:val="tx1"/>
            </w14:solidFill>
          </w14:textFill>
        </w:rPr>
        <w:t>3</w:t>
      </w:r>
      <w:r>
        <w:rPr>
          <w:rFonts w:hint="eastAsia"/>
          <w:b/>
          <w:color w:val="000000" w:themeColor="text1"/>
          <w:sz w:val="24"/>
          <w:szCs w:val="20"/>
          <w:highlight w:val="none"/>
          <w14:textFill>
            <w14:solidFill>
              <w14:schemeClr w14:val="tx1"/>
            </w14:solidFill>
          </w14:textFill>
        </w:rPr>
        <w:t>、质量保证及售后服务3分</w:t>
      </w:r>
    </w:p>
    <w:tbl>
      <w:tblPr>
        <w:tblStyle w:val="42"/>
        <w:tblW w:w="93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1477"/>
        <w:gridCol w:w="851"/>
        <w:gridCol w:w="6170"/>
      </w:tblGrid>
      <w:tr w14:paraId="258CC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1"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2DD2A0BD">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序号</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057C4E2F">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评分因素</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F038151">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分值</w:t>
            </w:r>
          </w:p>
        </w:tc>
        <w:tc>
          <w:tcPr>
            <w:tcW w:w="6170" w:type="dxa"/>
            <w:tcBorders>
              <w:top w:val="single" w:color="000000" w:sz="4" w:space="0"/>
              <w:left w:val="single" w:color="000000" w:sz="4" w:space="0"/>
              <w:bottom w:val="single" w:color="000000" w:sz="4" w:space="0"/>
              <w:right w:val="single" w:color="000000" w:sz="4" w:space="0"/>
            </w:tcBorders>
            <w:noWrap w:val="0"/>
            <w:vAlign w:val="center"/>
          </w:tcPr>
          <w:p w14:paraId="120110C9">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评分标准</w:t>
            </w:r>
          </w:p>
        </w:tc>
      </w:tr>
      <w:tr w14:paraId="3A4B1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7"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43C05009">
            <w:pPr>
              <w:jc w:val="center"/>
              <w:rPr>
                <w:color w:val="000000" w:themeColor="text1"/>
                <w:sz w:val="24"/>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1</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74DB7986">
            <w:pPr>
              <w:jc w:val="center"/>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免费质量保证</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80EA1F2">
            <w:pPr>
              <w:jc w:val="center"/>
              <w:rPr>
                <w:rFonts w:eastAsiaTheme="minorEastAsia"/>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2</w:t>
            </w:r>
            <w:r>
              <w:rPr>
                <w:rFonts w:hint="eastAsia" w:ascii="Times New Roman" w:hAnsi="Times New Roman" w:cs="宋体"/>
                <w:color w:val="000000" w:themeColor="text1"/>
                <w:sz w:val="24"/>
                <w:szCs w:val="24"/>
                <w:highlight w:val="none"/>
                <w:lang w:bidi="ar"/>
                <w14:textFill>
                  <w14:solidFill>
                    <w14:schemeClr w14:val="tx1"/>
                  </w14:solidFill>
                </w14:textFill>
              </w:rPr>
              <w:t>分</w:t>
            </w:r>
          </w:p>
        </w:tc>
        <w:tc>
          <w:tcPr>
            <w:tcW w:w="6170" w:type="dxa"/>
            <w:tcBorders>
              <w:top w:val="single" w:color="000000" w:sz="4" w:space="0"/>
              <w:left w:val="single" w:color="000000" w:sz="4" w:space="0"/>
              <w:bottom w:val="single" w:color="000000" w:sz="4" w:space="0"/>
              <w:right w:val="single" w:color="000000" w:sz="4" w:space="0"/>
            </w:tcBorders>
            <w:noWrap w:val="0"/>
          </w:tcPr>
          <w:p w14:paraId="3DBCD8BA">
            <w:pPr>
              <w:tabs>
                <w:tab w:val="left" w:pos="1250"/>
                <w:tab w:val="left" w:pos="3115"/>
                <w:tab w:val="left" w:pos="3640"/>
              </w:tabs>
              <w:spacing w:line="347" w:lineRule="exact"/>
              <w:rPr>
                <w:b/>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本项目软硬件免费质保时间满足招标基本要求的得基本分</w:t>
            </w:r>
            <w:r>
              <w:rPr>
                <w:rFonts w:hint="eastAsia" w:ascii="Times New Roman" w:hAnsi="Times New Roman"/>
                <w:color w:val="000000" w:themeColor="text1"/>
                <w:sz w:val="24"/>
                <w:szCs w:val="24"/>
                <w:highlight w:val="none"/>
                <w:lang w:bidi="ar"/>
                <w14:textFill>
                  <w14:solidFill>
                    <w14:schemeClr w14:val="tx1"/>
                  </w14:solidFill>
                </w14:textFill>
              </w:rPr>
              <w:t>1</w:t>
            </w:r>
            <w:r>
              <w:rPr>
                <w:rFonts w:hint="eastAsia" w:ascii="Times New Roman" w:hAnsi="Times New Roman" w:cs="宋体"/>
                <w:color w:val="000000" w:themeColor="text1"/>
                <w:sz w:val="24"/>
                <w:szCs w:val="24"/>
                <w:highlight w:val="none"/>
                <w:lang w:bidi="ar"/>
                <w14:textFill>
                  <w14:solidFill>
                    <w14:schemeClr w14:val="tx1"/>
                  </w14:solidFill>
                </w14:textFill>
              </w:rPr>
              <w:t>分，每增加半年加</w:t>
            </w:r>
            <w:r>
              <w:rPr>
                <w:rFonts w:ascii="Times New Roman" w:hAnsi="Times New Roman" w:cs="宋体"/>
                <w:color w:val="000000" w:themeColor="text1"/>
                <w:sz w:val="24"/>
                <w:szCs w:val="24"/>
                <w:highlight w:val="none"/>
                <w:lang w:bidi="ar"/>
                <w14:textFill>
                  <w14:solidFill>
                    <w14:schemeClr w14:val="tx1"/>
                  </w14:solidFill>
                </w14:textFill>
              </w:rPr>
              <w:t>0.5</w:t>
            </w:r>
            <w:r>
              <w:rPr>
                <w:rFonts w:hint="eastAsia" w:ascii="Times New Roman" w:hAnsi="Times New Roman" w:cs="宋体"/>
                <w:color w:val="000000" w:themeColor="text1"/>
                <w:sz w:val="24"/>
                <w:szCs w:val="24"/>
                <w:highlight w:val="none"/>
                <w:lang w:bidi="ar"/>
                <w14:textFill>
                  <w14:solidFill>
                    <w14:schemeClr w14:val="tx1"/>
                  </w14:solidFill>
                </w14:textFill>
              </w:rPr>
              <w:t>分，最多加1分。</w:t>
            </w:r>
          </w:p>
          <w:p w14:paraId="4CFAA259">
            <w:pPr>
              <w:tabs>
                <w:tab w:val="left" w:pos="1250"/>
                <w:tab w:val="left" w:pos="3115"/>
                <w:tab w:val="left" w:pos="3640"/>
              </w:tabs>
              <w:spacing w:line="347" w:lineRule="exact"/>
              <w:rPr>
                <w:color w:val="000000" w:themeColor="text1"/>
                <w:sz w:val="24"/>
                <w:szCs w:val="24"/>
                <w:highlight w:val="none"/>
                <w14:textFill>
                  <w14:solidFill>
                    <w14:schemeClr w14:val="tx1"/>
                  </w14:solidFill>
                </w14:textFill>
              </w:rPr>
            </w:pPr>
            <w:r>
              <w:rPr>
                <w:rFonts w:hint="eastAsia" w:ascii="Times New Roman" w:hAnsi="Times New Roman" w:cs="宋体"/>
                <w:b/>
                <w:color w:val="000000" w:themeColor="text1"/>
                <w:sz w:val="24"/>
                <w:szCs w:val="24"/>
                <w:highlight w:val="none"/>
                <w:lang w:bidi="ar"/>
                <w14:textFill>
                  <w14:solidFill>
                    <w14:schemeClr w14:val="tx1"/>
                  </w14:solidFill>
                </w14:textFill>
              </w:rPr>
              <w:t>注：（</w:t>
            </w:r>
            <w:r>
              <w:rPr>
                <w:rFonts w:hint="eastAsia" w:ascii="Times New Roman" w:hAnsi="Times New Roman"/>
                <w:b/>
                <w:color w:val="000000" w:themeColor="text1"/>
                <w:sz w:val="24"/>
                <w:szCs w:val="24"/>
                <w:highlight w:val="none"/>
                <w:lang w:bidi="ar"/>
                <w14:textFill>
                  <w14:solidFill>
                    <w14:schemeClr w14:val="tx1"/>
                  </w14:solidFill>
                </w14:textFill>
              </w:rPr>
              <w:t>1</w:t>
            </w:r>
            <w:r>
              <w:rPr>
                <w:rFonts w:hint="eastAsia" w:ascii="Times New Roman" w:hAnsi="Times New Roman" w:cs="宋体"/>
                <w:b/>
                <w:color w:val="000000" w:themeColor="text1"/>
                <w:sz w:val="24"/>
                <w:szCs w:val="24"/>
                <w:highlight w:val="none"/>
                <w:lang w:bidi="ar"/>
                <w14:textFill>
                  <w14:solidFill>
                    <w14:schemeClr w14:val="tx1"/>
                  </w14:solidFill>
                </w14:textFill>
              </w:rPr>
              <w:t>）只有部分内容免费质量保证期满足招标文件要求的不得分。（</w:t>
            </w:r>
            <w:r>
              <w:rPr>
                <w:rFonts w:hint="eastAsia" w:ascii="Times New Roman" w:hAnsi="Times New Roman"/>
                <w:b/>
                <w:color w:val="000000" w:themeColor="text1"/>
                <w:sz w:val="24"/>
                <w:szCs w:val="24"/>
                <w:highlight w:val="none"/>
                <w:lang w:bidi="ar"/>
                <w14:textFill>
                  <w14:solidFill>
                    <w14:schemeClr w14:val="tx1"/>
                  </w14:solidFill>
                </w14:textFill>
              </w:rPr>
              <w:t>2</w:t>
            </w:r>
            <w:r>
              <w:rPr>
                <w:rFonts w:hint="eastAsia" w:ascii="Times New Roman" w:hAnsi="Times New Roman" w:cs="宋体"/>
                <w:b/>
                <w:color w:val="000000" w:themeColor="text1"/>
                <w:sz w:val="24"/>
                <w:szCs w:val="24"/>
                <w:highlight w:val="none"/>
                <w:lang w:bidi="ar"/>
                <w14:textFill>
                  <w14:solidFill>
                    <w14:schemeClr w14:val="tx1"/>
                  </w14:solidFill>
                </w14:textFill>
              </w:rPr>
              <w:t>）</w:t>
            </w:r>
            <w:r>
              <w:rPr>
                <w:rFonts w:hint="eastAsia" w:ascii="Times New Roman" w:hAnsi="Times New Roman" w:cs="宋体"/>
                <w:b/>
                <w:color w:val="000000" w:themeColor="text1"/>
                <w:sz w:val="24"/>
                <w:szCs w:val="24"/>
                <w:highlight w:val="none"/>
                <w:shd w:val="clear" w:color="auto" w:fill="FFFFFF"/>
                <w:lang w:bidi="ar"/>
                <w14:textFill>
                  <w14:solidFill>
                    <w14:schemeClr w14:val="tx1"/>
                  </w14:solidFill>
                </w14:textFill>
              </w:rPr>
              <w:t>低于招标要求或未作说明的不得分。</w:t>
            </w:r>
          </w:p>
        </w:tc>
      </w:tr>
      <w:tr w14:paraId="501A4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4" w:hRule="atLeast"/>
          <w:jc w:val="center"/>
        </w:trPr>
        <w:tc>
          <w:tcPr>
            <w:tcW w:w="823" w:type="dxa"/>
            <w:tcBorders>
              <w:top w:val="single" w:color="000000" w:sz="4" w:space="0"/>
              <w:left w:val="single" w:color="000000" w:sz="4" w:space="0"/>
              <w:bottom w:val="single" w:color="000000" w:sz="4" w:space="0"/>
              <w:right w:val="single" w:color="000000" w:sz="4" w:space="0"/>
            </w:tcBorders>
            <w:noWrap w:val="0"/>
            <w:vAlign w:val="center"/>
          </w:tcPr>
          <w:p w14:paraId="78BB7ABD">
            <w:pPr>
              <w:jc w:val="center"/>
              <w:rPr>
                <w:rFonts w:asciiTheme="minorHAnsi" w:hAnsiTheme="minorHAnsi" w:eastAsiaTheme="minorEastAsia" w:cstheme="minorBidi"/>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2</w:t>
            </w:r>
          </w:p>
        </w:tc>
        <w:tc>
          <w:tcPr>
            <w:tcW w:w="1477" w:type="dxa"/>
            <w:tcBorders>
              <w:top w:val="single" w:color="000000" w:sz="4" w:space="0"/>
              <w:left w:val="single" w:color="000000" w:sz="4" w:space="0"/>
              <w:bottom w:val="single" w:color="000000" w:sz="4" w:space="0"/>
              <w:right w:val="single" w:color="000000" w:sz="4" w:space="0"/>
            </w:tcBorders>
            <w:noWrap w:val="0"/>
            <w:vAlign w:val="center"/>
          </w:tcPr>
          <w:p w14:paraId="6A534683">
            <w:pPr>
              <w:jc w:val="center"/>
              <w:rPr>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售后服务</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AC12E2A">
            <w:pPr>
              <w:jc w:val="center"/>
              <w:rPr>
                <w:rFonts w:asciiTheme="minorHAnsi" w:hAnsiTheme="minorHAnsi" w:eastAsiaTheme="minorEastAsia" w:cstheme="minorBidi"/>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1</w:t>
            </w:r>
            <w:r>
              <w:rPr>
                <w:rFonts w:hint="eastAsia" w:ascii="Times New Roman" w:hAnsi="Times New Roman" w:cs="宋体"/>
                <w:color w:val="000000" w:themeColor="text1"/>
                <w:sz w:val="24"/>
                <w:szCs w:val="24"/>
                <w:highlight w:val="none"/>
                <w:lang w:bidi="ar"/>
                <w14:textFill>
                  <w14:solidFill>
                    <w14:schemeClr w14:val="tx1"/>
                  </w14:solidFill>
                </w14:textFill>
              </w:rPr>
              <w:t>分</w:t>
            </w:r>
          </w:p>
        </w:tc>
        <w:tc>
          <w:tcPr>
            <w:tcW w:w="6170" w:type="dxa"/>
            <w:tcBorders>
              <w:top w:val="single" w:color="000000" w:sz="4" w:space="0"/>
              <w:left w:val="single" w:color="000000" w:sz="4" w:space="0"/>
              <w:bottom w:val="single" w:color="000000" w:sz="4" w:space="0"/>
              <w:right w:val="single" w:color="000000" w:sz="4" w:space="0"/>
            </w:tcBorders>
            <w:noWrap w:val="0"/>
          </w:tcPr>
          <w:p w14:paraId="65B098E2">
            <w:pPr>
              <w:tabs>
                <w:tab w:val="left" w:pos="1250"/>
                <w:tab w:val="left" w:pos="3115"/>
                <w:tab w:val="left" w:pos="3640"/>
              </w:tabs>
              <w:spacing w:line="347" w:lineRule="exact"/>
              <w:rPr>
                <w:rFonts w:asciiTheme="minorHAnsi" w:hAnsiTheme="minorHAnsi" w:eastAsiaTheme="minorEastAsia" w:cstheme="minorBidi"/>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根据售后服务情况及服务承诺进行综合评定，售后服务体系完善、售后服务能力强、承诺到位的得</w:t>
            </w:r>
            <w:r>
              <w:rPr>
                <w:rFonts w:hint="eastAsia" w:ascii="Times New Roman" w:hAnsi="Times New Roman"/>
                <w:color w:val="000000" w:themeColor="text1"/>
                <w:sz w:val="24"/>
                <w:szCs w:val="20"/>
                <w:highlight w:val="none"/>
                <w:lang w:bidi="ar"/>
                <w14:textFill>
                  <w14:solidFill>
                    <w14:schemeClr w14:val="tx1"/>
                  </w14:solidFill>
                </w14:textFill>
              </w:rPr>
              <w:t>1</w:t>
            </w:r>
            <w:r>
              <w:rPr>
                <w:rFonts w:hint="eastAsia" w:ascii="Times New Roman" w:hAnsi="Times New Roman" w:cs="宋体"/>
                <w:color w:val="000000" w:themeColor="text1"/>
                <w:sz w:val="24"/>
                <w:szCs w:val="20"/>
                <w:highlight w:val="none"/>
                <w:lang w:bidi="ar"/>
                <w14:textFill>
                  <w14:solidFill>
                    <w14:schemeClr w14:val="tx1"/>
                  </w14:solidFill>
                </w14:textFill>
              </w:rPr>
              <w:t>分；售后服务基本满足项目需求的得</w:t>
            </w:r>
            <w:r>
              <w:rPr>
                <w:rFonts w:hint="eastAsia" w:ascii="Times New Roman" w:hAnsi="Times New Roman"/>
                <w:color w:val="000000" w:themeColor="text1"/>
                <w:sz w:val="24"/>
                <w:szCs w:val="20"/>
                <w:highlight w:val="none"/>
                <w:lang w:bidi="ar"/>
                <w14:textFill>
                  <w14:solidFill>
                    <w14:schemeClr w14:val="tx1"/>
                  </w14:solidFill>
                </w14:textFill>
              </w:rPr>
              <w:t>0.5</w:t>
            </w:r>
            <w:r>
              <w:rPr>
                <w:rFonts w:hint="eastAsia" w:ascii="Times New Roman" w:hAnsi="Times New Roman" w:cs="宋体"/>
                <w:color w:val="000000" w:themeColor="text1"/>
                <w:sz w:val="24"/>
                <w:szCs w:val="20"/>
                <w:highlight w:val="none"/>
                <w:lang w:bidi="ar"/>
                <w14:textFill>
                  <w14:solidFill>
                    <w14:schemeClr w14:val="tx1"/>
                  </w14:solidFill>
                </w14:textFill>
              </w:rPr>
              <w:t>分；无售后服务承诺或未作说明的不得分。</w:t>
            </w:r>
          </w:p>
        </w:tc>
      </w:tr>
    </w:tbl>
    <w:p w14:paraId="1F1E5170">
      <w:pPr>
        <w:spacing w:line="440" w:lineRule="exact"/>
        <w:ind w:firstLine="482"/>
        <w:rPr>
          <w:b/>
          <w:color w:val="000000" w:themeColor="text1"/>
          <w:sz w:val="24"/>
          <w:szCs w:val="20"/>
          <w:highlight w:val="none"/>
          <w14:textFill>
            <w14:solidFill>
              <w14:schemeClr w14:val="tx1"/>
            </w14:solidFill>
          </w14:textFill>
        </w:rPr>
      </w:pPr>
      <w:r>
        <w:rPr>
          <w:b/>
          <w:color w:val="000000" w:themeColor="text1"/>
          <w:sz w:val="24"/>
          <w:szCs w:val="20"/>
          <w:highlight w:val="none"/>
          <w14:textFill>
            <w14:solidFill>
              <w14:schemeClr w14:val="tx1"/>
            </w14:solidFill>
          </w14:textFill>
        </w:rPr>
        <w:t>4</w:t>
      </w:r>
      <w:r>
        <w:rPr>
          <w:rFonts w:hint="eastAsia"/>
          <w:b/>
          <w:color w:val="000000" w:themeColor="text1"/>
          <w:sz w:val="24"/>
          <w:szCs w:val="20"/>
          <w:highlight w:val="none"/>
          <w14:textFill>
            <w14:solidFill>
              <w14:schemeClr w14:val="tx1"/>
            </w14:solidFill>
          </w14:textFill>
        </w:rPr>
        <w:t>、综合实力5分</w:t>
      </w:r>
    </w:p>
    <w:tbl>
      <w:tblPr>
        <w:tblStyle w:val="42"/>
        <w:tblW w:w="93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3"/>
        <w:gridCol w:w="1472"/>
        <w:gridCol w:w="851"/>
        <w:gridCol w:w="6181"/>
      </w:tblGrid>
      <w:tr w14:paraId="3C0C2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803" w:type="dxa"/>
            <w:tcBorders>
              <w:top w:val="single" w:color="000000" w:sz="4" w:space="0"/>
              <w:left w:val="single" w:color="000000" w:sz="4" w:space="0"/>
              <w:bottom w:val="single" w:color="000000" w:sz="4" w:space="0"/>
              <w:right w:val="single" w:color="000000" w:sz="4" w:space="0"/>
            </w:tcBorders>
            <w:noWrap w:val="0"/>
            <w:vAlign w:val="center"/>
          </w:tcPr>
          <w:p w14:paraId="3881B35B">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序号</w:t>
            </w: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7F7332A7">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评分因素</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A9F5D0C">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分值</w:t>
            </w:r>
          </w:p>
        </w:tc>
        <w:tc>
          <w:tcPr>
            <w:tcW w:w="6181" w:type="dxa"/>
            <w:tcBorders>
              <w:top w:val="single" w:color="000000" w:sz="4" w:space="0"/>
              <w:left w:val="single" w:color="000000" w:sz="4" w:space="0"/>
              <w:bottom w:val="single" w:color="000000" w:sz="4" w:space="0"/>
              <w:right w:val="single" w:color="000000" w:sz="4" w:space="0"/>
            </w:tcBorders>
            <w:noWrap w:val="0"/>
            <w:vAlign w:val="center"/>
          </w:tcPr>
          <w:p w14:paraId="2F0C818C">
            <w:pPr>
              <w:spacing w:line="240" w:lineRule="atLeast"/>
              <w:jc w:val="cente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评分标准</w:t>
            </w:r>
          </w:p>
        </w:tc>
      </w:tr>
      <w:tr w14:paraId="7B0E6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8" w:hRule="atLeast"/>
          <w:jc w:val="center"/>
        </w:trPr>
        <w:tc>
          <w:tcPr>
            <w:tcW w:w="803" w:type="dxa"/>
            <w:tcBorders>
              <w:top w:val="single" w:color="000000" w:sz="4" w:space="0"/>
              <w:left w:val="single" w:color="000000" w:sz="4" w:space="0"/>
              <w:bottom w:val="single" w:color="000000" w:sz="4" w:space="0"/>
              <w:right w:val="single" w:color="000000" w:sz="4" w:space="0"/>
            </w:tcBorders>
            <w:noWrap w:val="0"/>
            <w:vAlign w:val="center"/>
          </w:tcPr>
          <w:p w14:paraId="54A9D7B5">
            <w:pPr>
              <w:spacing w:line="240" w:lineRule="atLeast"/>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1</w:t>
            </w: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15AE9F72">
            <w:pPr>
              <w:spacing w:line="240" w:lineRule="atLeast"/>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商务条件响应性</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58CFC84">
            <w:pPr>
              <w:spacing w:line="240" w:lineRule="atLeast"/>
              <w:jc w:val="center"/>
              <w:rPr>
                <w:rFonts w:eastAsiaTheme="minorEastAsia"/>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0"/>
                <w:highlight w:val="none"/>
                <w:lang w:bidi="ar"/>
                <w14:textFill>
                  <w14:solidFill>
                    <w14:schemeClr w14:val="tx1"/>
                  </w14:solidFill>
                </w14:textFill>
              </w:rPr>
              <w:t>1</w:t>
            </w:r>
            <w:r>
              <w:rPr>
                <w:rFonts w:hint="eastAsia" w:ascii="Times New Roman" w:hAnsi="Times New Roman" w:cs="宋体"/>
                <w:color w:val="000000" w:themeColor="text1"/>
                <w:sz w:val="24"/>
                <w:szCs w:val="20"/>
                <w:highlight w:val="none"/>
                <w:lang w:bidi="ar"/>
                <w14:textFill>
                  <w14:solidFill>
                    <w14:schemeClr w14:val="tx1"/>
                  </w14:solidFill>
                </w14:textFill>
              </w:rPr>
              <w:t>分</w:t>
            </w:r>
          </w:p>
        </w:tc>
        <w:tc>
          <w:tcPr>
            <w:tcW w:w="6181" w:type="dxa"/>
            <w:tcBorders>
              <w:top w:val="single" w:color="000000" w:sz="4" w:space="0"/>
              <w:left w:val="single" w:color="000000" w:sz="4" w:space="0"/>
              <w:bottom w:val="single" w:color="000000" w:sz="4" w:space="0"/>
              <w:right w:val="single" w:color="000000" w:sz="4" w:space="0"/>
            </w:tcBorders>
            <w:noWrap w:val="0"/>
            <w:vAlign w:val="center"/>
          </w:tcPr>
          <w:p w14:paraId="6D61E42F">
            <w:pPr>
              <w:spacing w:line="240" w:lineRule="atLeast"/>
              <w:jc w:val="left"/>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投标人对招标文件中合同条款等商务条件完全响应（20条）的得1分；有负偏离条款的，每条扣0.05分。</w:t>
            </w:r>
          </w:p>
        </w:tc>
      </w:tr>
      <w:tr w14:paraId="7F23D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28" w:hRule="atLeast"/>
          <w:jc w:val="center"/>
        </w:trPr>
        <w:tc>
          <w:tcPr>
            <w:tcW w:w="803" w:type="dxa"/>
            <w:tcBorders>
              <w:top w:val="single" w:color="000000" w:sz="4" w:space="0"/>
              <w:left w:val="single" w:color="000000" w:sz="4" w:space="0"/>
              <w:bottom w:val="single" w:color="000000" w:sz="4" w:space="0"/>
              <w:right w:val="single" w:color="000000" w:sz="4" w:space="0"/>
            </w:tcBorders>
            <w:noWrap w:val="0"/>
            <w:vAlign w:val="center"/>
          </w:tcPr>
          <w:p w14:paraId="6F6B31CE">
            <w:pPr>
              <w:spacing w:line="360" w:lineRule="auto"/>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2</w:t>
            </w:r>
          </w:p>
        </w:tc>
        <w:tc>
          <w:tcPr>
            <w:tcW w:w="1472" w:type="dxa"/>
            <w:tcBorders>
              <w:top w:val="single" w:color="000000" w:sz="4" w:space="0"/>
              <w:left w:val="single" w:color="000000" w:sz="4" w:space="0"/>
              <w:bottom w:val="single" w:color="000000" w:sz="4" w:space="0"/>
              <w:right w:val="single" w:color="000000" w:sz="4" w:space="0"/>
            </w:tcBorders>
            <w:noWrap w:val="0"/>
            <w:vAlign w:val="center"/>
          </w:tcPr>
          <w:p w14:paraId="482E2F3E">
            <w:pPr>
              <w:spacing w:line="360" w:lineRule="auto"/>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业绩情况</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A061CFB">
            <w:pPr>
              <w:spacing w:line="360" w:lineRule="auto"/>
              <w:jc w:val="center"/>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4分</w:t>
            </w:r>
          </w:p>
        </w:tc>
        <w:tc>
          <w:tcPr>
            <w:tcW w:w="6181" w:type="dxa"/>
            <w:tcBorders>
              <w:top w:val="single" w:color="000000" w:sz="4" w:space="0"/>
              <w:left w:val="single" w:color="000000" w:sz="4" w:space="0"/>
              <w:bottom w:val="single" w:color="000000" w:sz="4" w:space="0"/>
              <w:right w:val="single" w:color="000000" w:sz="4" w:space="0"/>
            </w:tcBorders>
            <w:noWrap w:val="0"/>
            <w:vAlign w:val="center"/>
          </w:tcPr>
          <w:p w14:paraId="6C79D3EC">
            <w:pPr>
              <w:rPr>
                <w:color w:val="000000" w:themeColor="text1"/>
                <w:sz w:val="24"/>
                <w:szCs w:val="24"/>
                <w:highlight w:val="none"/>
                <w:lang w:bidi="ar"/>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投标人自</w:t>
            </w:r>
            <w:r>
              <w:rPr>
                <w:rFonts w:hint="eastAsia" w:ascii="Times New Roman" w:hAnsi="Times New Roman"/>
                <w:color w:val="000000" w:themeColor="text1"/>
                <w:sz w:val="24"/>
                <w:szCs w:val="24"/>
                <w:highlight w:val="none"/>
                <w:lang w:bidi="ar"/>
                <w14:textFill>
                  <w14:solidFill>
                    <w14:schemeClr w14:val="tx1"/>
                  </w14:solidFill>
                </w14:textFill>
              </w:rPr>
              <w:t>2023</w:t>
            </w:r>
            <w:r>
              <w:rPr>
                <w:rFonts w:hint="eastAsia" w:ascii="Times New Roman" w:hAnsi="Times New Roman" w:cs="宋体"/>
                <w:color w:val="000000" w:themeColor="text1"/>
                <w:sz w:val="24"/>
                <w:szCs w:val="24"/>
                <w:highlight w:val="none"/>
                <w:lang w:bidi="ar"/>
                <w14:textFill>
                  <w14:solidFill>
                    <w14:schemeClr w14:val="tx1"/>
                  </w14:solidFill>
                </w14:textFill>
              </w:rPr>
              <w:t>年</w:t>
            </w:r>
            <w:r>
              <w:rPr>
                <w:rFonts w:hint="eastAsia" w:ascii="Times New Roman" w:hAnsi="Times New Roman"/>
                <w:color w:val="000000" w:themeColor="text1"/>
                <w:sz w:val="24"/>
                <w:szCs w:val="24"/>
                <w:highlight w:val="none"/>
                <w:lang w:bidi="ar"/>
                <w14:textFill>
                  <w14:solidFill>
                    <w14:schemeClr w14:val="tx1"/>
                  </w14:solidFill>
                </w14:textFill>
              </w:rPr>
              <w:t>1</w:t>
            </w:r>
            <w:r>
              <w:rPr>
                <w:rFonts w:hint="eastAsia" w:ascii="Times New Roman" w:hAnsi="Times New Roman" w:cs="宋体"/>
                <w:color w:val="000000" w:themeColor="text1"/>
                <w:sz w:val="24"/>
                <w:szCs w:val="24"/>
                <w:highlight w:val="none"/>
                <w:lang w:bidi="ar"/>
                <w14:textFill>
                  <w14:solidFill>
                    <w14:schemeClr w14:val="tx1"/>
                  </w14:solidFill>
                </w14:textFill>
              </w:rPr>
              <w:t>月</w:t>
            </w:r>
            <w:r>
              <w:rPr>
                <w:rFonts w:hint="eastAsia" w:ascii="Times New Roman" w:hAnsi="Times New Roman"/>
                <w:color w:val="000000" w:themeColor="text1"/>
                <w:sz w:val="24"/>
                <w:szCs w:val="24"/>
                <w:highlight w:val="none"/>
                <w:lang w:bidi="ar"/>
                <w14:textFill>
                  <w14:solidFill>
                    <w14:schemeClr w14:val="tx1"/>
                  </w14:solidFill>
                </w14:textFill>
              </w:rPr>
              <w:t>1</w:t>
            </w:r>
            <w:r>
              <w:rPr>
                <w:rFonts w:hint="eastAsia" w:ascii="Times New Roman" w:hAnsi="Times New Roman" w:cs="宋体"/>
                <w:color w:val="000000" w:themeColor="text1"/>
                <w:sz w:val="24"/>
                <w:szCs w:val="24"/>
                <w:highlight w:val="none"/>
                <w:lang w:bidi="ar"/>
                <w14:textFill>
                  <w14:solidFill>
                    <w14:schemeClr w14:val="tx1"/>
                  </w14:solidFill>
                </w14:textFill>
              </w:rPr>
              <w:t>日（以合同签订时间为准）至今实</w:t>
            </w:r>
            <w:r>
              <w:rPr>
                <w:rFonts w:hint="eastAsia" w:ascii="Times New Roman" w:hAnsi="Times New Roman"/>
                <w:color w:val="000000" w:themeColor="text1"/>
                <w:sz w:val="24"/>
                <w:szCs w:val="24"/>
                <w:highlight w:val="none"/>
                <w:lang w:bidi="ar"/>
                <w14:textFill>
                  <w14:solidFill>
                    <w14:schemeClr w14:val="tx1"/>
                  </w14:solidFill>
                </w14:textFill>
              </w:rPr>
              <w:t>施过河湖信息化（至少包含水位计或流量计水文监测设备）项目业绩的，</w:t>
            </w:r>
            <w:r>
              <w:rPr>
                <w:rFonts w:hint="eastAsia" w:ascii="Times New Roman" w:hAnsi="Times New Roman" w:cs="宋体"/>
                <w:color w:val="000000" w:themeColor="text1"/>
                <w:sz w:val="24"/>
                <w:szCs w:val="24"/>
                <w:highlight w:val="none"/>
                <w:lang w:bidi="ar"/>
                <w14:textFill>
                  <w14:solidFill>
                    <w14:schemeClr w14:val="tx1"/>
                  </w14:solidFill>
                </w14:textFill>
              </w:rPr>
              <w:t>每有1个得2分，最高得4分。</w:t>
            </w:r>
          </w:p>
          <w:p w14:paraId="6B93B446">
            <w:pPr>
              <w:widowControl/>
              <w:jc w:val="left"/>
              <w:rPr>
                <w:b/>
                <w:color w:val="000000" w:themeColor="text1"/>
                <w:sz w:val="24"/>
                <w:szCs w:val="20"/>
                <w:highlight w:val="none"/>
                <w14:textFill>
                  <w14:solidFill>
                    <w14:schemeClr w14:val="tx1"/>
                  </w14:solidFill>
                </w14:textFill>
              </w:rPr>
            </w:pPr>
            <w:r>
              <w:rPr>
                <w:rFonts w:hint="eastAsia" w:ascii="Times New Roman" w:hAnsi="Times New Roman"/>
                <w:b/>
                <w:color w:val="000000" w:themeColor="text1"/>
                <w:sz w:val="24"/>
                <w:szCs w:val="24"/>
                <w:highlight w:val="none"/>
                <w:lang w:bidi="ar"/>
                <w14:textFill>
                  <w14:solidFill>
                    <w14:schemeClr w14:val="tx1"/>
                  </w14:solidFill>
                </w14:textFill>
              </w:rPr>
              <w:t>注：投标人需在投标文件中提供业绩合同证明材料（须至少包括合同首页、签字盖章页、合同货物清单），未提供或提供不全或提供的证明材料无法佐证的，该业绩不计入本项评分。</w:t>
            </w:r>
          </w:p>
        </w:tc>
      </w:tr>
    </w:tbl>
    <w:p w14:paraId="4095AB7D">
      <w:pPr>
        <w:spacing w:line="440" w:lineRule="exact"/>
        <w:rPr>
          <w:b/>
          <w:bCs/>
          <w:color w:val="000000" w:themeColor="text1"/>
          <w:sz w:val="28"/>
          <w:highlight w:val="none"/>
          <w14:textFill>
            <w14:solidFill>
              <w14:schemeClr w14:val="tx1"/>
            </w14:solidFill>
          </w14:textFill>
        </w:rPr>
      </w:pPr>
      <w:r>
        <w:rPr>
          <w:rFonts w:hint="eastAsia"/>
          <w:b/>
          <w:bCs/>
          <w:color w:val="000000" w:themeColor="text1"/>
          <w:sz w:val="28"/>
          <w:highlight w:val="none"/>
          <w14:textFill>
            <w14:solidFill>
              <w14:schemeClr w14:val="tx1"/>
            </w14:solidFill>
          </w14:textFill>
        </w:rPr>
        <w:t>三、政府采购政策：</w:t>
      </w:r>
    </w:p>
    <w:p w14:paraId="7E7CBB8F">
      <w:pPr>
        <w:spacing w:line="440" w:lineRule="exact"/>
        <w:ind w:firstLine="24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lang w:bidi="ar"/>
          <w14:textFill>
            <w14:solidFill>
              <w14:schemeClr w14:val="tx1"/>
            </w14:solidFill>
          </w14:textFill>
        </w:rPr>
        <w:t>1</w:t>
      </w:r>
      <w:r>
        <w:rPr>
          <w:rFonts w:hint="eastAsia" w:ascii="Times New Roman" w:hAnsi="Times New Roman" w:cs="宋体"/>
          <w:color w:val="000000" w:themeColor="text1"/>
          <w:sz w:val="24"/>
          <w:szCs w:val="24"/>
          <w:highlight w:val="none"/>
          <w:lang w:bidi="ar"/>
          <w14:textFill>
            <w14:solidFill>
              <w14:schemeClr w14:val="tx1"/>
            </w14:solidFill>
          </w14:textFill>
        </w:rPr>
        <w:t>、针对中小型企业、残疾人福利单位和监狱企业的评审：</w:t>
      </w:r>
    </w:p>
    <w:p w14:paraId="4EBF29D1">
      <w:pPr>
        <w:spacing w:line="440" w:lineRule="exact"/>
        <w:ind w:firstLine="361"/>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cs="宋体"/>
          <w:b/>
          <w:color w:val="000000" w:themeColor="text1"/>
          <w:sz w:val="24"/>
          <w:szCs w:val="24"/>
          <w:highlight w:val="none"/>
          <w:lang w:bidi="ar"/>
          <w14:textFill>
            <w14:solidFill>
              <w14:schemeClr w14:val="tx1"/>
            </w14:solidFill>
          </w14:textFill>
        </w:rPr>
        <w:t>（</w:t>
      </w:r>
      <w:r>
        <w:rPr>
          <w:rFonts w:ascii="Times New Roman" w:hAnsi="Times New Roman"/>
          <w:b/>
          <w:color w:val="000000" w:themeColor="text1"/>
          <w:sz w:val="24"/>
          <w:szCs w:val="24"/>
          <w:highlight w:val="none"/>
          <w:lang w:bidi="ar"/>
          <w14:textFill>
            <w14:solidFill>
              <w14:schemeClr w14:val="tx1"/>
            </w14:solidFill>
          </w14:textFill>
        </w:rPr>
        <w:t>1</w:t>
      </w:r>
      <w:r>
        <w:rPr>
          <w:rFonts w:hint="eastAsia" w:ascii="Times New Roman" w:hAnsi="Times New Roman" w:cs="宋体"/>
          <w:b/>
          <w:color w:val="000000" w:themeColor="text1"/>
          <w:sz w:val="24"/>
          <w:szCs w:val="24"/>
          <w:highlight w:val="none"/>
          <w:lang w:bidi="ar"/>
          <w14:textFill>
            <w14:solidFill>
              <w14:schemeClr w14:val="tx1"/>
            </w14:solidFill>
          </w14:textFill>
        </w:rPr>
        <w:t>）本项目非专门面向中小企业采购，所属行业为工业。</w:t>
      </w:r>
    </w:p>
    <w:p w14:paraId="16B834FB">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2</w:t>
      </w:r>
      <w:r>
        <w:rPr>
          <w:rFonts w:hint="eastAsia" w:ascii="Times New Roman" w:hAnsi="Times New Roman" w:cs="宋体"/>
          <w:color w:val="000000" w:themeColor="text1"/>
          <w:sz w:val="24"/>
          <w:szCs w:val="24"/>
          <w:highlight w:val="none"/>
          <w:lang w:bidi="ar"/>
          <w14:textFill>
            <w14:solidFill>
              <w14:schemeClr w14:val="tx1"/>
            </w14:solidFill>
          </w14:textFill>
        </w:rPr>
        <w:t>）根据《政府采购促进中小企业发展管理办法》（财库〔</w:t>
      </w:r>
      <w:r>
        <w:rPr>
          <w:rFonts w:ascii="Times New Roman" w:hAnsi="Times New Roman"/>
          <w:color w:val="000000" w:themeColor="text1"/>
          <w:sz w:val="24"/>
          <w:szCs w:val="24"/>
          <w:highlight w:val="none"/>
          <w:lang w:bidi="ar"/>
          <w14:textFill>
            <w14:solidFill>
              <w14:schemeClr w14:val="tx1"/>
            </w14:solidFill>
          </w14:textFill>
        </w:rPr>
        <w:t>2020</w:t>
      </w: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46</w:t>
      </w:r>
      <w:r>
        <w:rPr>
          <w:rFonts w:hint="eastAsia" w:ascii="Times New Roman" w:hAnsi="Times New Roman" w:cs="宋体"/>
          <w:color w:val="000000" w:themeColor="text1"/>
          <w:sz w:val="24"/>
          <w:szCs w:val="24"/>
          <w:highlight w:val="none"/>
          <w:lang w:bidi="ar"/>
          <w14:textFill>
            <w14:solidFill>
              <w14:schemeClr w14:val="tx1"/>
            </w14:solidFill>
          </w14:textFill>
        </w:rPr>
        <w:t>号）、《关于促进残疾人就业政府采购政策的通知》（财库〔</w:t>
      </w:r>
      <w:r>
        <w:rPr>
          <w:rFonts w:ascii="Times New Roman" w:hAnsi="Times New Roman"/>
          <w:color w:val="000000" w:themeColor="text1"/>
          <w:sz w:val="24"/>
          <w:szCs w:val="24"/>
          <w:highlight w:val="none"/>
          <w:lang w:bidi="ar"/>
          <w14:textFill>
            <w14:solidFill>
              <w14:schemeClr w14:val="tx1"/>
            </w14:solidFill>
          </w14:textFill>
        </w:rPr>
        <w:t>2017</w:t>
      </w: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141</w:t>
      </w:r>
      <w:r>
        <w:rPr>
          <w:rFonts w:hint="eastAsia" w:ascii="Times New Roman" w:hAnsi="Times New Roman" w:cs="宋体"/>
          <w:color w:val="000000" w:themeColor="text1"/>
          <w:sz w:val="24"/>
          <w:szCs w:val="24"/>
          <w:highlight w:val="none"/>
          <w:lang w:bidi="ar"/>
          <w14:textFill>
            <w14:solidFill>
              <w14:schemeClr w14:val="tx1"/>
            </w14:solidFill>
          </w14:textFill>
        </w:rPr>
        <w:t>号）、《关于政府采购支持监狱企业发展有关问题的通知》（财库〔</w:t>
      </w:r>
      <w:r>
        <w:rPr>
          <w:rFonts w:ascii="Times New Roman" w:hAnsi="Times New Roman"/>
          <w:color w:val="000000" w:themeColor="text1"/>
          <w:sz w:val="24"/>
          <w:szCs w:val="24"/>
          <w:highlight w:val="none"/>
          <w:lang w:bidi="ar"/>
          <w14:textFill>
            <w14:solidFill>
              <w14:schemeClr w14:val="tx1"/>
            </w14:solidFill>
          </w14:textFill>
        </w:rPr>
        <w:t>2014</w:t>
      </w: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68</w:t>
      </w:r>
      <w:r>
        <w:rPr>
          <w:rFonts w:hint="eastAsia" w:ascii="Times New Roman" w:hAnsi="Times New Roman" w:cs="宋体"/>
          <w:color w:val="000000" w:themeColor="text1"/>
          <w:sz w:val="24"/>
          <w:szCs w:val="24"/>
          <w:highlight w:val="none"/>
          <w:lang w:bidi="ar"/>
          <w14:textFill>
            <w14:solidFill>
              <w14:schemeClr w14:val="tx1"/>
            </w14:solidFill>
          </w14:textFill>
        </w:rPr>
        <w:t>号），对属于小微企业、残疾人福利性单位、监狱企业给予评审优惠：如投标人为小型和微型企业、残疾人福利性单位或监狱企业的，其价格给予</w:t>
      </w:r>
      <w:r>
        <w:rPr>
          <w:rFonts w:ascii="Times New Roman" w:hAnsi="Times New Roman"/>
          <w:color w:val="000000" w:themeColor="text1"/>
          <w:sz w:val="24"/>
          <w:szCs w:val="24"/>
          <w:highlight w:val="none"/>
          <w:lang w:bidi="ar"/>
          <w14:textFill>
            <w14:solidFill>
              <w14:schemeClr w14:val="tx1"/>
            </w14:solidFill>
          </w14:textFill>
        </w:rPr>
        <w:t>20%</w:t>
      </w:r>
      <w:r>
        <w:rPr>
          <w:rFonts w:hint="eastAsia" w:ascii="Times New Roman" w:hAnsi="Times New Roman" w:cs="宋体"/>
          <w:color w:val="000000" w:themeColor="text1"/>
          <w:sz w:val="24"/>
          <w:szCs w:val="24"/>
          <w:highlight w:val="none"/>
          <w:lang w:bidi="ar"/>
          <w14:textFill>
            <w14:solidFill>
              <w14:schemeClr w14:val="tx1"/>
            </w14:solidFill>
          </w14:textFill>
        </w:rPr>
        <w:t>的扣除，用扣除后的价格参与评审，如扣除后的价格为最低价的，则作为评标基准价，中标金额则以实际投标报价为准。残疾人福利性单位、监狱企业属于小型、微型企业的，不重复享受政策。</w:t>
      </w:r>
    </w:p>
    <w:p w14:paraId="3AE85625">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3</w:t>
      </w:r>
      <w:r>
        <w:rPr>
          <w:rFonts w:hint="eastAsia" w:ascii="Times New Roman" w:hAnsi="Times New Roman" w:cs="宋体"/>
          <w:color w:val="000000" w:themeColor="text1"/>
          <w:sz w:val="24"/>
          <w:szCs w:val="24"/>
          <w:highlight w:val="none"/>
          <w:lang w:bidi="ar"/>
          <w14:textFill>
            <w14:solidFill>
              <w14:schemeClr w14:val="tx1"/>
            </w14:solidFill>
          </w14:textFill>
        </w:rPr>
        <w:t>）在政府采购活动中，投标人提供的货物或者服务符合下列情形的，享受中小企业扶持政策：</w:t>
      </w:r>
    </w:p>
    <w:p w14:paraId="574B09D9">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①在货物采购项目中，货物由中小企业制造，即货物由中小企业生产且使用该中小企业商号或者注册商标。</w:t>
      </w:r>
    </w:p>
    <w:p w14:paraId="5D85DCD3">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②在服务采购项目中，服务由中小企业承接，即提供服务的人员为中小企业依照《中华人民共和国劳动合同法》订立劳动合同的从业人员。</w:t>
      </w:r>
    </w:p>
    <w:p w14:paraId="0D3C481A">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③在货物采购项目中，投标人提供的货物既有中小企业制造货物，也有大型企业制造货物的，不享受中小企业扶持政策。</w:t>
      </w:r>
    </w:p>
    <w:p w14:paraId="050A9650">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④以联合体形式参加政府采购活动，联合体各方均为小微企业的，联合体视同小微企业。</w:t>
      </w:r>
    </w:p>
    <w:p w14:paraId="56D563D4">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4</w:t>
      </w:r>
      <w:r>
        <w:rPr>
          <w:rFonts w:hint="eastAsia" w:ascii="Times New Roman" w:hAnsi="Times New Roman" w:cs="宋体"/>
          <w:color w:val="000000" w:themeColor="text1"/>
          <w:sz w:val="24"/>
          <w:szCs w:val="24"/>
          <w:highlight w:val="none"/>
          <w:lang w:bidi="ar"/>
          <w14:textFill>
            <w14:solidFill>
              <w14:schemeClr w14:val="tx1"/>
            </w14:solidFill>
          </w14:textFill>
        </w:rPr>
        <w:t>）在投标文件中，小微企业需提供《中小企业声明函》（填报严格按工信部联企业〔</w:t>
      </w:r>
      <w:r>
        <w:rPr>
          <w:rFonts w:ascii="Times New Roman" w:hAnsi="Times New Roman"/>
          <w:color w:val="000000" w:themeColor="text1"/>
          <w:sz w:val="24"/>
          <w:szCs w:val="24"/>
          <w:highlight w:val="none"/>
          <w:lang w:bidi="ar"/>
          <w14:textFill>
            <w14:solidFill>
              <w14:schemeClr w14:val="tx1"/>
            </w14:solidFill>
          </w14:textFill>
        </w:rPr>
        <w:t>2011</w:t>
      </w: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300</w:t>
      </w:r>
      <w:r>
        <w:rPr>
          <w:rFonts w:hint="eastAsia" w:ascii="Times New Roman" w:hAnsi="Times New Roman" w:cs="宋体"/>
          <w:color w:val="000000" w:themeColor="text1"/>
          <w:sz w:val="24"/>
          <w:szCs w:val="24"/>
          <w:highlight w:val="none"/>
          <w:lang w:bidi="ar"/>
          <w14:textFill>
            <w14:solidFill>
              <w14:schemeClr w14:val="tx1"/>
            </w14:solidFill>
          </w14:textFill>
        </w:rPr>
        <w:t>号通知中的《中小企业划型标准规定》进行，中小企业规模类型可进入小程序进行自测。）</w:t>
      </w:r>
    </w:p>
    <w:p w14:paraId="367F0800">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5</w:t>
      </w:r>
      <w:r>
        <w:rPr>
          <w:rFonts w:hint="eastAsia" w:ascii="Times New Roman" w:hAnsi="Times New Roman" w:cs="宋体"/>
          <w:color w:val="000000" w:themeColor="text1"/>
          <w:sz w:val="24"/>
          <w:szCs w:val="24"/>
          <w:highlight w:val="none"/>
          <w:lang w:bidi="ar"/>
          <w14:textFill>
            <w14:solidFill>
              <w14:schemeClr w14:val="tx1"/>
            </w14:solidFill>
          </w14:textFill>
        </w:rPr>
        <w:t>）残疾人福利性单位需提供《残疾人福利性单位声明函》；监狱</w:t>
      </w:r>
      <w:r>
        <w:rPr>
          <w:rFonts w:hint="eastAsia" w:cs="宋体"/>
          <w:color w:val="000000" w:themeColor="text1"/>
          <w:sz w:val="24"/>
          <w:szCs w:val="24"/>
          <w:highlight w:val="none"/>
          <w:lang w:bidi="ar"/>
          <w14:textFill>
            <w14:solidFill>
              <w14:schemeClr w14:val="tx1"/>
            </w14:solidFill>
          </w14:textFill>
        </w:rPr>
        <w:t>企业需提供由省级以</w:t>
      </w:r>
      <w:r>
        <w:rPr>
          <w:rFonts w:hint="eastAsia" w:ascii="Times New Roman" w:hAnsi="Times New Roman" w:cs="宋体"/>
          <w:color w:val="000000" w:themeColor="text1"/>
          <w:sz w:val="24"/>
          <w:szCs w:val="24"/>
          <w:highlight w:val="none"/>
          <w:lang w:bidi="ar"/>
          <w14:textFill>
            <w14:solidFill>
              <w14:schemeClr w14:val="tx1"/>
            </w14:solidFill>
          </w14:textFill>
        </w:rPr>
        <w:t>上监狱管理局、戒毒管理局（含新疆生产建设兵团）出具的属于监狱企业的证明文件。</w:t>
      </w:r>
    </w:p>
    <w:p w14:paraId="34273F4D">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6</w:t>
      </w:r>
      <w:r>
        <w:rPr>
          <w:rFonts w:hint="eastAsia" w:ascii="Times New Roman" w:hAnsi="Times New Roman" w:cs="宋体"/>
          <w:color w:val="000000" w:themeColor="text1"/>
          <w:sz w:val="24"/>
          <w:szCs w:val="24"/>
          <w:highlight w:val="none"/>
          <w:lang w:bidi="ar"/>
          <w14:textFill>
            <w14:solidFill>
              <w14:schemeClr w14:val="tx1"/>
            </w14:solidFill>
          </w14:textFill>
        </w:rPr>
        <w:t>）享受政府采购支持政策的残疾人福利性单位应当同时满足以下条件：</w:t>
      </w:r>
    </w:p>
    <w:p w14:paraId="6E02C5DF">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安置的残疾人占本单位在职职工人数的比例不低于</w:t>
      </w:r>
      <w:r>
        <w:rPr>
          <w:rFonts w:ascii="Times New Roman" w:hAnsi="Times New Roman"/>
          <w:color w:val="000000" w:themeColor="text1"/>
          <w:sz w:val="24"/>
          <w:szCs w:val="24"/>
          <w:highlight w:val="none"/>
          <w:lang w:bidi="ar"/>
          <w14:textFill>
            <w14:solidFill>
              <w14:schemeClr w14:val="tx1"/>
            </w14:solidFill>
          </w14:textFill>
        </w:rPr>
        <w:t>25%</w:t>
      </w:r>
      <w:r>
        <w:rPr>
          <w:rFonts w:hint="eastAsia" w:ascii="Times New Roman" w:hAnsi="Times New Roman" w:cs="宋体"/>
          <w:color w:val="000000" w:themeColor="text1"/>
          <w:sz w:val="24"/>
          <w:szCs w:val="24"/>
          <w:highlight w:val="none"/>
          <w:lang w:bidi="ar"/>
          <w14:textFill>
            <w14:solidFill>
              <w14:schemeClr w14:val="tx1"/>
            </w14:solidFill>
          </w14:textFill>
        </w:rPr>
        <w:t>（含</w:t>
      </w:r>
      <w:r>
        <w:rPr>
          <w:rFonts w:ascii="Times New Roman" w:hAnsi="Times New Roman"/>
          <w:color w:val="000000" w:themeColor="text1"/>
          <w:sz w:val="24"/>
          <w:szCs w:val="24"/>
          <w:highlight w:val="none"/>
          <w:lang w:bidi="ar"/>
          <w14:textFill>
            <w14:solidFill>
              <w14:schemeClr w14:val="tx1"/>
            </w14:solidFill>
          </w14:textFill>
        </w:rPr>
        <w:t>25%</w:t>
      </w:r>
      <w:r>
        <w:rPr>
          <w:rFonts w:hint="eastAsia" w:ascii="Times New Roman" w:hAnsi="Times New Roman" w:cs="宋体"/>
          <w:color w:val="000000" w:themeColor="text1"/>
          <w:sz w:val="24"/>
          <w:szCs w:val="24"/>
          <w:highlight w:val="none"/>
          <w:lang w:bidi="ar"/>
          <w14:textFill>
            <w14:solidFill>
              <w14:schemeClr w14:val="tx1"/>
            </w14:solidFill>
          </w14:textFill>
        </w:rPr>
        <w:t>），并且安置的残疾人人数不少于</w:t>
      </w:r>
      <w:r>
        <w:rPr>
          <w:rFonts w:ascii="Times New Roman" w:hAnsi="Times New Roman"/>
          <w:color w:val="000000" w:themeColor="text1"/>
          <w:sz w:val="24"/>
          <w:szCs w:val="24"/>
          <w:highlight w:val="none"/>
          <w:lang w:bidi="ar"/>
          <w14:textFill>
            <w14:solidFill>
              <w14:schemeClr w14:val="tx1"/>
            </w14:solidFill>
          </w14:textFill>
        </w:rPr>
        <w:t>10</w:t>
      </w:r>
      <w:r>
        <w:rPr>
          <w:rFonts w:hint="eastAsia" w:ascii="Times New Roman" w:hAnsi="Times New Roman" w:cs="宋体"/>
          <w:color w:val="000000" w:themeColor="text1"/>
          <w:sz w:val="24"/>
          <w:szCs w:val="24"/>
          <w:highlight w:val="none"/>
          <w:lang w:bidi="ar"/>
          <w14:textFill>
            <w14:solidFill>
              <w14:schemeClr w14:val="tx1"/>
            </w14:solidFill>
          </w14:textFill>
        </w:rPr>
        <w:t>人（含</w:t>
      </w:r>
      <w:r>
        <w:rPr>
          <w:rFonts w:ascii="Times New Roman" w:hAnsi="Times New Roman"/>
          <w:color w:val="000000" w:themeColor="text1"/>
          <w:sz w:val="24"/>
          <w:szCs w:val="24"/>
          <w:highlight w:val="none"/>
          <w:lang w:bidi="ar"/>
          <w14:textFill>
            <w14:solidFill>
              <w14:schemeClr w14:val="tx1"/>
            </w14:solidFill>
          </w14:textFill>
        </w:rPr>
        <w:t>10</w:t>
      </w:r>
      <w:r>
        <w:rPr>
          <w:rFonts w:hint="eastAsia" w:ascii="Times New Roman" w:hAnsi="Times New Roman" w:cs="宋体"/>
          <w:color w:val="000000" w:themeColor="text1"/>
          <w:sz w:val="24"/>
          <w:szCs w:val="24"/>
          <w:highlight w:val="none"/>
          <w:lang w:bidi="ar"/>
          <w14:textFill>
            <w14:solidFill>
              <w14:schemeClr w14:val="tx1"/>
            </w14:solidFill>
          </w14:textFill>
        </w:rPr>
        <w:t>人）；依法与安置的每位残疾人签订了一年以上（含一年）的劳动合同或服务协议；</w:t>
      </w:r>
    </w:p>
    <w:p w14:paraId="73217C8D">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0948455C">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提供本单位制造的货物、承担的工程或者服务，或者提供其他残疾人福利性单位制造的货物（不包括使用非残疾人福利性单位注册商标的货物）。</w:t>
      </w:r>
    </w:p>
    <w:p w14:paraId="472AD78A">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前款所称残疾人是指法定劳动年龄内，持有《中华人民共和国残疾人证》或者《中华人民共和国残疾军人证（</w:t>
      </w:r>
      <w:r>
        <w:rPr>
          <w:rFonts w:ascii="Times New Roman" w:hAnsi="Times New Roman"/>
          <w:color w:val="000000" w:themeColor="text1"/>
          <w:sz w:val="24"/>
          <w:szCs w:val="24"/>
          <w:highlight w:val="none"/>
          <w:lang w:bidi="ar"/>
          <w14:textFill>
            <w14:solidFill>
              <w14:schemeClr w14:val="tx1"/>
            </w14:solidFill>
          </w14:textFill>
        </w:rPr>
        <w:t>1</w:t>
      </w:r>
      <w:r>
        <w:rPr>
          <w:rFonts w:hint="eastAsia" w:ascii="Times New Roman" w:hAnsi="Times New Roman" w:cs="宋体"/>
          <w:color w:val="000000" w:themeColor="text1"/>
          <w:sz w:val="24"/>
          <w:szCs w:val="24"/>
          <w:highlight w:val="none"/>
          <w:lang w:bidi="ar"/>
          <w14:textFill>
            <w14:solidFill>
              <w14:schemeClr w14:val="tx1"/>
            </w14:solidFill>
          </w14:textFill>
        </w:rPr>
        <w:t>至</w:t>
      </w:r>
      <w:r>
        <w:rPr>
          <w:rFonts w:ascii="Times New Roman" w:hAnsi="Times New Roman"/>
          <w:color w:val="000000" w:themeColor="text1"/>
          <w:sz w:val="24"/>
          <w:szCs w:val="24"/>
          <w:highlight w:val="none"/>
          <w:lang w:bidi="ar"/>
          <w14:textFill>
            <w14:solidFill>
              <w14:schemeClr w14:val="tx1"/>
            </w14:solidFill>
          </w14:textFill>
        </w:rPr>
        <w:t>8</w:t>
      </w:r>
      <w:r>
        <w:rPr>
          <w:rFonts w:hint="eastAsia" w:ascii="Times New Roman" w:hAnsi="Times New Roman" w:cs="宋体"/>
          <w:color w:val="000000" w:themeColor="text1"/>
          <w:sz w:val="24"/>
          <w:szCs w:val="24"/>
          <w:highlight w:val="none"/>
          <w:lang w:bidi="ar"/>
          <w14:textFill>
            <w14:solidFill>
              <w14:schemeClr w14:val="tx1"/>
            </w14:solidFill>
          </w14:textFill>
        </w:rPr>
        <w:t>级）》的自然人，包括具有劳动条件和劳动意愿的精神残疾人。在职职工人数是指与残疾人福利性单位建立劳动关系并依法签订劳动合同或者服务协议的雇员人数。</w:t>
      </w:r>
    </w:p>
    <w:p w14:paraId="25F04834">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投标人如不提供以上声明函或证明材料的，则不享受评审优惠政策。</w:t>
      </w:r>
    </w:p>
    <w:p w14:paraId="64476BEE">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7</w:t>
      </w:r>
      <w:r>
        <w:rPr>
          <w:rFonts w:hint="eastAsia" w:ascii="Times New Roman" w:hAnsi="Times New Roman" w:cs="宋体"/>
          <w:color w:val="000000" w:themeColor="text1"/>
          <w:sz w:val="24"/>
          <w:szCs w:val="24"/>
          <w:highlight w:val="none"/>
          <w:lang w:bidi="ar"/>
          <w14:textFill>
            <w14:solidFill>
              <w14:schemeClr w14:val="tx1"/>
            </w14:solidFill>
          </w14:textFill>
        </w:rPr>
        <w:t>）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p>
    <w:p w14:paraId="06D900F2">
      <w:pPr>
        <w:spacing w:line="440" w:lineRule="exact"/>
        <w:ind w:firstLine="36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8</w:t>
      </w:r>
      <w:r>
        <w:rPr>
          <w:rFonts w:hint="eastAsia" w:ascii="Times New Roman" w:hAnsi="Times New Roman" w:cs="宋体"/>
          <w:color w:val="000000" w:themeColor="text1"/>
          <w:sz w:val="24"/>
          <w:szCs w:val="24"/>
          <w:highlight w:val="none"/>
          <w:lang w:bidi="ar"/>
          <w14:textFill>
            <w14:solidFill>
              <w14:schemeClr w14:val="tx1"/>
            </w14:solidFill>
          </w14:textFill>
        </w:rPr>
        <w:t>）事业单位、社会组织等非企业主体不享受中小企业扶持政策，但事业单位、社会组织等非企业主体提供全部由中小企业制造的货物，参加货物采购项目的除外。（《苏州市政府采购促进中小企业发展实施意见》</w:t>
      </w:r>
      <w:r>
        <w:rPr>
          <w:rFonts w:ascii="Times New Roman" w:hAnsi="Times New Roman"/>
          <w:color w:val="000000" w:themeColor="text1"/>
          <w:sz w:val="24"/>
          <w:szCs w:val="24"/>
          <w:highlight w:val="none"/>
          <w:lang w:bidi="ar"/>
          <w14:textFill>
            <w14:solidFill>
              <w14:schemeClr w14:val="tx1"/>
            </w14:solidFill>
          </w14:textFill>
        </w:rPr>
        <w:t>-</w:t>
      </w:r>
      <w:r>
        <w:rPr>
          <w:rFonts w:hint="eastAsia" w:ascii="Times New Roman" w:hAnsi="Times New Roman" w:cs="宋体"/>
          <w:color w:val="000000" w:themeColor="text1"/>
          <w:sz w:val="24"/>
          <w:szCs w:val="24"/>
          <w:highlight w:val="none"/>
          <w:lang w:bidi="ar"/>
          <w14:textFill>
            <w14:solidFill>
              <w14:schemeClr w14:val="tx1"/>
            </w14:solidFill>
          </w14:textFill>
        </w:rPr>
        <w:t>苏财购</w:t>
      </w:r>
      <w:r>
        <w:rPr>
          <w:rFonts w:ascii="Times New Roman" w:hAnsi="Times New Roman"/>
          <w:color w:val="000000" w:themeColor="text1"/>
          <w:sz w:val="24"/>
          <w:szCs w:val="24"/>
          <w:highlight w:val="none"/>
          <w:lang w:bidi="ar"/>
          <w14:textFill>
            <w14:solidFill>
              <w14:schemeClr w14:val="tx1"/>
            </w14:solidFill>
          </w14:textFill>
        </w:rPr>
        <w:t>[2022]16</w:t>
      </w:r>
      <w:r>
        <w:rPr>
          <w:rFonts w:hint="eastAsia" w:ascii="Times New Roman" w:hAnsi="Times New Roman" w:cs="宋体"/>
          <w:color w:val="000000" w:themeColor="text1"/>
          <w:sz w:val="24"/>
          <w:szCs w:val="24"/>
          <w:highlight w:val="none"/>
          <w:lang w:bidi="ar"/>
          <w14:textFill>
            <w14:solidFill>
              <w14:schemeClr w14:val="tx1"/>
            </w14:solidFill>
          </w14:textFill>
        </w:rPr>
        <w:t>号）。</w:t>
      </w:r>
    </w:p>
    <w:p w14:paraId="0F38FFB2">
      <w:pPr>
        <w:spacing w:line="440" w:lineRule="exact"/>
        <w:ind w:firstLine="240"/>
        <w:rPr>
          <w:rFonts w:ascii="Times New Roman" w:hAnsi="Times New Roman"/>
          <w:color w:val="000000" w:themeColor="text1"/>
          <w:sz w:val="24"/>
          <w:szCs w:val="24"/>
          <w:highlight w:val="none"/>
          <w:lang w:bidi="ar"/>
          <w14:textFill>
            <w14:solidFill>
              <w14:schemeClr w14:val="tx1"/>
            </w14:solidFill>
          </w14:textFill>
        </w:rPr>
      </w:pPr>
      <w:r>
        <w:rPr>
          <w:rFonts w:ascii="Times New Roman" w:hAnsi="Times New Roman"/>
          <w:color w:val="000000" w:themeColor="text1"/>
          <w:sz w:val="24"/>
          <w:szCs w:val="24"/>
          <w:highlight w:val="none"/>
          <w:lang w:bidi="ar"/>
          <w14:textFill>
            <w14:solidFill>
              <w14:schemeClr w14:val="tx1"/>
            </w14:solidFill>
          </w14:textFill>
        </w:rPr>
        <w:t>2</w:t>
      </w:r>
      <w:r>
        <w:rPr>
          <w:rFonts w:hint="eastAsia" w:ascii="Times New Roman" w:hAnsi="Times New Roman"/>
          <w:color w:val="000000" w:themeColor="text1"/>
          <w:sz w:val="24"/>
          <w:szCs w:val="24"/>
          <w:highlight w:val="none"/>
          <w:lang w:bidi="ar"/>
          <w14:textFill>
            <w14:solidFill>
              <w14:schemeClr w14:val="tx1"/>
            </w14:solidFill>
          </w14:textFill>
        </w:rPr>
        <w:t>、根据《关于调整优化节能产品、环境标志产品政府采购执行机制的通知》（财库〔</w:t>
      </w:r>
      <w:r>
        <w:rPr>
          <w:rFonts w:ascii="Times New Roman" w:hAnsi="Times New Roman"/>
          <w:color w:val="000000" w:themeColor="text1"/>
          <w:sz w:val="24"/>
          <w:szCs w:val="24"/>
          <w:highlight w:val="none"/>
          <w:lang w:bidi="ar"/>
          <w14:textFill>
            <w14:solidFill>
              <w14:schemeClr w14:val="tx1"/>
            </w14:solidFill>
          </w14:textFill>
        </w:rPr>
        <w:t>2019</w:t>
      </w:r>
      <w:r>
        <w:rPr>
          <w:rFonts w:hint="eastAsia" w:ascii="Times New Roman" w:hAnsi="Times New Roman"/>
          <w:color w:val="000000" w:themeColor="text1"/>
          <w:sz w:val="24"/>
          <w:szCs w:val="24"/>
          <w:highlight w:val="none"/>
          <w:lang w:bidi="ar"/>
          <w14:textFill>
            <w14:solidFill>
              <w14:schemeClr w14:val="tx1"/>
            </w14:solidFill>
          </w14:textFill>
        </w:rPr>
        <w:t>〕</w:t>
      </w:r>
      <w:r>
        <w:rPr>
          <w:rFonts w:ascii="Times New Roman" w:hAnsi="Times New Roman"/>
          <w:color w:val="000000" w:themeColor="text1"/>
          <w:sz w:val="24"/>
          <w:szCs w:val="24"/>
          <w:highlight w:val="none"/>
          <w:lang w:bidi="ar"/>
          <w14:textFill>
            <w14:solidFill>
              <w14:schemeClr w14:val="tx1"/>
            </w14:solidFill>
          </w14:textFill>
        </w:rPr>
        <w:t>9</w:t>
      </w:r>
      <w:r>
        <w:rPr>
          <w:rFonts w:hint="eastAsia" w:ascii="Times New Roman" w:hAnsi="Times New Roman"/>
          <w:color w:val="000000" w:themeColor="text1"/>
          <w:sz w:val="24"/>
          <w:szCs w:val="24"/>
          <w:highlight w:val="none"/>
          <w:lang w:bidi="ar"/>
          <w14:textFill>
            <w14:solidFill>
              <w14:schemeClr w14:val="tx1"/>
            </w14:solidFill>
          </w14:textFill>
        </w:rPr>
        <w:t>号）有关政策规定如下：</w:t>
      </w:r>
    </w:p>
    <w:p w14:paraId="2D5B1786">
      <w:pPr>
        <w:spacing w:line="440" w:lineRule="exact"/>
        <w:ind w:firstLine="360"/>
        <w:rPr>
          <w:rFonts w:ascii="Times New Roman" w:hAnsi="Times New Roman" w:cs="宋体"/>
          <w:color w:val="000000" w:themeColor="text1"/>
          <w:sz w:val="24"/>
          <w:szCs w:val="24"/>
          <w:highlight w:val="none"/>
          <w:lang w:bidi="ar"/>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w:t>
      </w:r>
      <w:r>
        <w:rPr>
          <w:rFonts w:ascii="Times New Roman" w:hAnsi="Times New Roman" w:cs="宋体"/>
          <w:color w:val="000000" w:themeColor="text1"/>
          <w:sz w:val="24"/>
          <w:szCs w:val="24"/>
          <w:highlight w:val="none"/>
          <w:lang w:bidi="ar"/>
          <w14:textFill>
            <w14:solidFill>
              <w14:schemeClr w14:val="tx1"/>
            </w14:solidFill>
          </w14:textFill>
        </w:rPr>
        <w:t>1</w:t>
      </w:r>
      <w:r>
        <w:rPr>
          <w:rFonts w:hint="eastAsia" w:ascii="Times New Roman" w:hAnsi="Times New Roman" w:cs="宋体"/>
          <w:color w:val="000000" w:themeColor="text1"/>
          <w:sz w:val="24"/>
          <w:szCs w:val="24"/>
          <w:highlight w:val="none"/>
          <w:lang w:bidi="ar"/>
          <w14:textFill>
            <w14:solidFill>
              <w14:schemeClr w14:val="tx1"/>
            </w14:solidFill>
          </w14:textFill>
        </w:rPr>
        <w:t>）政府采购节能产品、环境标志产品</w:t>
      </w:r>
    </w:p>
    <w:p w14:paraId="7D1C7708">
      <w:pPr>
        <w:spacing w:line="440" w:lineRule="exact"/>
        <w:ind w:firstLine="360"/>
        <w:rPr>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节能产品和环境标志产品实施品目清单管理，以“中国政府采购网”（</w:t>
      </w:r>
      <w:r>
        <w:rPr>
          <w:rFonts w:ascii="Times New Roman" w:hAnsi="Times New Roman" w:cs="宋体"/>
          <w:color w:val="000000" w:themeColor="text1"/>
          <w:sz w:val="24"/>
          <w:szCs w:val="24"/>
          <w:highlight w:val="none"/>
          <w:lang w:bidi="ar"/>
          <w14:textFill>
            <w14:solidFill>
              <w14:schemeClr w14:val="tx1"/>
            </w14:solidFill>
          </w14:textFill>
        </w:rPr>
        <w:t>http://www.ccgp.gov.cn</w:t>
      </w:r>
      <w:r>
        <w:rPr>
          <w:rFonts w:hint="eastAsia" w:ascii="Times New Roman" w:hAnsi="Times New Roman" w:cs="宋体"/>
          <w:color w:val="000000" w:themeColor="text1"/>
          <w:sz w:val="24"/>
          <w:szCs w:val="24"/>
          <w:highlight w:val="none"/>
          <w:lang w:bidi="ar"/>
          <w14:textFill>
            <w14:solidFill>
              <w14:schemeClr w14:val="tx1"/>
            </w14:solidFill>
          </w14:textFill>
        </w:rPr>
        <w:t>）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w:t>
      </w:r>
      <w:r>
        <w:rPr>
          <w:rFonts w:hint="eastAsia" w:ascii="Times New Roman" w:hAnsi="Times New Roman" w:cs="宋体"/>
          <w:b/>
          <w:bCs/>
          <w:color w:val="000000" w:themeColor="text1"/>
          <w:sz w:val="24"/>
          <w:szCs w:val="24"/>
          <w:highlight w:val="none"/>
          <w:lang w:bidi="ar"/>
          <w14:textFill>
            <w14:solidFill>
              <w14:schemeClr w14:val="tx1"/>
            </w14:solidFill>
          </w14:textFill>
        </w:rPr>
        <w:t>强制采购产品认证证书扫描件未提供或提供不全的将视为未实质性响应采购要求。</w:t>
      </w:r>
    </w:p>
    <w:p w14:paraId="2C84FBC0">
      <w:pPr>
        <w:spacing w:before="240" w:after="240" w:line="440" w:lineRule="exact"/>
        <w:ind w:firstLine="480"/>
        <w:jc w:val="center"/>
        <w:outlineLvl w:val="0"/>
        <w:rPr>
          <w:rFonts w:ascii="黑体" w:hAnsi="Courier New" w:eastAsia="黑体" w:cs="Courier New"/>
          <w:bCs/>
          <w:color w:val="000000" w:themeColor="text1"/>
          <w:sz w:val="44"/>
          <w:szCs w:val="21"/>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bookmarkStart w:id="435" w:name="_Toc19072"/>
      <w:bookmarkStart w:id="436" w:name="_Toc14862"/>
      <w:bookmarkStart w:id="437" w:name="_Toc26256"/>
      <w:bookmarkStart w:id="438" w:name="_Toc9057"/>
      <w:r>
        <w:rPr>
          <w:rFonts w:hint="eastAsia" w:ascii="黑体" w:hAnsi="Courier New" w:eastAsia="黑体" w:cs="Courier New"/>
          <w:bCs/>
          <w:color w:val="000000" w:themeColor="text1"/>
          <w:sz w:val="44"/>
          <w:szCs w:val="21"/>
          <w:highlight w:val="none"/>
          <w14:textFill>
            <w14:solidFill>
              <w14:schemeClr w14:val="tx1"/>
            </w14:solidFill>
          </w14:textFill>
        </w:rPr>
        <w:t>第六章  投标</w:t>
      </w:r>
      <w:bookmarkEnd w:id="248"/>
      <w:bookmarkEnd w:id="249"/>
      <w:bookmarkEnd w:id="250"/>
      <w:r>
        <w:rPr>
          <w:rFonts w:hint="eastAsia" w:ascii="黑体" w:hAnsi="Courier New" w:eastAsia="黑体" w:cs="Courier New"/>
          <w:bCs/>
          <w:color w:val="000000" w:themeColor="text1"/>
          <w:sz w:val="44"/>
          <w:szCs w:val="21"/>
          <w:highlight w:val="none"/>
          <w14:textFill>
            <w14:solidFill>
              <w14:schemeClr w14:val="tx1"/>
            </w14:solidFill>
          </w14:textFill>
        </w:rPr>
        <w:t>文件格式</w:t>
      </w:r>
      <w:bookmarkEnd w:id="435"/>
      <w:bookmarkEnd w:id="436"/>
      <w:bookmarkEnd w:id="437"/>
      <w:bookmarkEnd w:id="438"/>
      <w:r>
        <w:rPr>
          <w:rFonts w:hint="eastAsia" w:ascii="黑体" w:hAnsi="Courier New" w:eastAsia="黑体" w:cs="Courier New"/>
          <w:bCs/>
          <w:color w:val="000000" w:themeColor="text1"/>
          <w:sz w:val="44"/>
          <w:szCs w:val="21"/>
          <w:highlight w:val="none"/>
          <w14:textFill>
            <w14:solidFill>
              <w14:schemeClr w14:val="tx1"/>
            </w14:solidFill>
          </w14:textFill>
        </w:rPr>
        <w:t xml:space="preserve"> </w:t>
      </w:r>
    </w:p>
    <w:p w14:paraId="04C5ADB8">
      <w:pPr>
        <w:ind w:firstLine="1446"/>
        <w:jc w:val="center"/>
        <w:rPr>
          <w:rFonts w:ascii="宋体" w:hAnsi="宋体"/>
          <w:b/>
          <w:color w:val="000000" w:themeColor="text1"/>
          <w:sz w:val="72"/>
          <w:szCs w:val="21"/>
          <w:highlight w:val="none"/>
          <w14:textFill>
            <w14:solidFill>
              <w14:schemeClr w14:val="tx1"/>
            </w14:solidFill>
          </w14:textFill>
        </w:rPr>
      </w:pPr>
      <w:bookmarkStart w:id="439" w:name="_Hlt26671244"/>
      <w:bookmarkEnd w:id="439"/>
      <w:bookmarkStart w:id="440" w:name="_Hlt26955039"/>
      <w:bookmarkEnd w:id="440"/>
      <w:bookmarkStart w:id="441" w:name="_Toc26554094"/>
      <w:bookmarkStart w:id="442" w:name="_Toc120614282"/>
      <w:bookmarkStart w:id="443" w:name="_Toc49090576"/>
    </w:p>
    <w:p w14:paraId="269342FD">
      <w:pPr>
        <w:jc w:val="center"/>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投  标  文  件</w:t>
      </w:r>
    </w:p>
    <w:p w14:paraId="5E490017">
      <w:pPr>
        <w:ind w:firstLine="1446"/>
        <w:jc w:val="center"/>
        <w:rPr>
          <w:rFonts w:ascii="宋体" w:hAnsi="宋体"/>
          <w:b/>
          <w:color w:val="000000" w:themeColor="text1"/>
          <w:sz w:val="72"/>
          <w:szCs w:val="21"/>
          <w:highlight w:val="none"/>
          <w14:textFill>
            <w14:solidFill>
              <w14:schemeClr w14:val="tx1"/>
            </w14:solidFill>
          </w14:textFill>
        </w:rPr>
      </w:pPr>
    </w:p>
    <w:p w14:paraId="17DBE491">
      <w:pPr>
        <w:ind w:firstLine="1446"/>
        <w:jc w:val="center"/>
        <w:rPr>
          <w:rFonts w:ascii="宋体" w:hAnsi="宋体"/>
          <w:b/>
          <w:color w:val="000000" w:themeColor="text1"/>
          <w:sz w:val="72"/>
          <w:szCs w:val="21"/>
          <w:highlight w:val="none"/>
          <w14:textFill>
            <w14:solidFill>
              <w14:schemeClr w14:val="tx1"/>
            </w14:solidFill>
          </w14:textFill>
        </w:rPr>
      </w:pPr>
    </w:p>
    <w:p w14:paraId="7F47672D">
      <w:pPr>
        <w:ind w:firstLine="723"/>
        <w:jc w:val="center"/>
        <w:rPr>
          <w:rFonts w:ascii="宋体" w:hAnsi="宋体"/>
          <w:b/>
          <w:color w:val="000000" w:themeColor="text1"/>
          <w:sz w:val="36"/>
          <w:szCs w:val="21"/>
          <w:highlight w:val="none"/>
          <w14:textFill>
            <w14:solidFill>
              <w14:schemeClr w14:val="tx1"/>
            </w14:solidFill>
          </w14:textFill>
        </w:rPr>
      </w:pPr>
    </w:p>
    <w:p w14:paraId="0C0E62C9">
      <w:pPr>
        <w:ind w:firstLine="723"/>
        <w:jc w:val="center"/>
        <w:rPr>
          <w:rFonts w:ascii="宋体" w:hAnsi="宋体"/>
          <w:b/>
          <w:color w:val="000000" w:themeColor="text1"/>
          <w:sz w:val="36"/>
          <w:szCs w:val="21"/>
          <w:highlight w:val="none"/>
          <w14:textFill>
            <w14:solidFill>
              <w14:schemeClr w14:val="tx1"/>
            </w14:solidFill>
          </w14:textFill>
        </w:rPr>
      </w:pPr>
    </w:p>
    <w:p w14:paraId="72FCD528">
      <w:pPr>
        <w:ind w:firstLine="723"/>
        <w:jc w:val="center"/>
        <w:rPr>
          <w:rFonts w:ascii="宋体" w:hAnsi="宋体"/>
          <w:b/>
          <w:color w:val="000000" w:themeColor="text1"/>
          <w:sz w:val="36"/>
          <w:szCs w:val="21"/>
          <w:highlight w:val="none"/>
          <w14:textFill>
            <w14:solidFill>
              <w14:schemeClr w14:val="tx1"/>
            </w14:solidFill>
          </w14:textFill>
        </w:rPr>
      </w:pPr>
    </w:p>
    <w:p w14:paraId="153B788D">
      <w:pPr>
        <w:spacing w:line="480" w:lineRule="exact"/>
        <w:ind w:firstLine="803"/>
        <w:rPr>
          <w:rFonts w:ascii="宋体" w:hAnsi="宋体"/>
          <w:b/>
          <w:color w:val="000000" w:themeColor="text1"/>
          <w:sz w:val="40"/>
          <w:highlight w:val="non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项 目 名 称：</w:t>
      </w:r>
      <w:r>
        <w:rPr>
          <w:rFonts w:hint="eastAsia" w:ascii="宋体" w:hAnsi="宋体"/>
          <w:b/>
          <w:color w:val="000000" w:themeColor="text1"/>
          <w:sz w:val="36"/>
          <w:szCs w:val="24"/>
          <w:highlight w:val="none"/>
          <w14:textFill>
            <w14:solidFill>
              <w14:schemeClr w14:val="tx1"/>
            </w14:solidFill>
          </w14:textFill>
        </w:rPr>
        <w:t>昆承湖幸福河湖建设信息化设备</w:t>
      </w:r>
    </w:p>
    <w:p w14:paraId="31E175F3">
      <w:pPr>
        <w:spacing w:line="480" w:lineRule="exact"/>
        <w:ind w:firstLine="803"/>
        <w:rPr>
          <w:rFonts w:ascii="宋体" w:hAnsi="宋体"/>
          <w:b/>
          <w:color w:val="000000" w:themeColor="text1"/>
          <w:sz w:val="40"/>
          <w:highlight w:val="none"/>
          <w14:textFill>
            <w14:solidFill>
              <w14:schemeClr w14:val="tx1"/>
            </w14:solidFill>
          </w14:textFill>
        </w:rPr>
      </w:pPr>
    </w:p>
    <w:p w14:paraId="342AE5EC">
      <w:pPr>
        <w:spacing w:line="480" w:lineRule="exact"/>
        <w:ind w:firstLine="803"/>
        <w:rPr>
          <w:rFonts w:hint="eastAsia" w:ascii="宋体" w:hAnsi="宋体" w:eastAsia="宋体"/>
          <w:b/>
          <w:color w:val="000000" w:themeColor="text1"/>
          <w:sz w:val="40"/>
          <w:highlight w:val="none"/>
          <w:u w:val="single"/>
          <w:lang w:eastAsia="zh-CN"/>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项 目 编 号：</w:t>
      </w:r>
      <w:r>
        <w:rPr>
          <w:rFonts w:hint="eastAsia" w:ascii="宋体" w:hAnsi="宋体"/>
          <w:b/>
          <w:color w:val="000000" w:themeColor="text1"/>
          <w:sz w:val="36"/>
          <w:szCs w:val="24"/>
          <w:highlight w:val="none"/>
          <w:lang w:eastAsia="zh-CN"/>
          <w14:textFill>
            <w14:solidFill>
              <w14:schemeClr w14:val="tx1"/>
            </w14:solidFill>
          </w14:textFill>
        </w:rPr>
        <w:t>JSZC-320581-SZXY-G2025-0056</w:t>
      </w:r>
    </w:p>
    <w:p w14:paraId="6C795202">
      <w:pPr>
        <w:spacing w:line="480" w:lineRule="exact"/>
        <w:ind w:firstLine="803"/>
        <w:rPr>
          <w:rFonts w:ascii="宋体" w:hAnsi="宋体"/>
          <w:b/>
          <w:color w:val="000000" w:themeColor="text1"/>
          <w:sz w:val="40"/>
          <w:highlight w:val="none"/>
          <w14:textFill>
            <w14:solidFill>
              <w14:schemeClr w14:val="tx1"/>
            </w14:solidFill>
          </w14:textFill>
        </w:rPr>
      </w:pPr>
    </w:p>
    <w:p w14:paraId="39D688AF">
      <w:pPr>
        <w:spacing w:line="480" w:lineRule="exact"/>
        <w:ind w:firstLine="803"/>
        <w:rPr>
          <w:rFonts w:ascii="宋体" w:hAnsi="宋体"/>
          <w:b/>
          <w:color w:val="000000" w:themeColor="text1"/>
          <w:sz w:val="40"/>
          <w:highlight w:val="none"/>
          <w14:textFill>
            <w14:solidFill>
              <w14:schemeClr w14:val="tx1"/>
            </w14:solidFill>
          </w14:textFill>
        </w:rPr>
      </w:pPr>
    </w:p>
    <w:p w14:paraId="488CEA9F">
      <w:pPr>
        <w:spacing w:line="480" w:lineRule="exact"/>
        <w:ind w:firstLine="803"/>
        <w:rPr>
          <w:rFonts w:ascii="宋体" w:hAnsi="宋体"/>
          <w:b/>
          <w:color w:val="000000" w:themeColor="text1"/>
          <w:sz w:val="40"/>
          <w:highlight w:val="none"/>
          <w14:textFill>
            <w14:solidFill>
              <w14:schemeClr w14:val="tx1"/>
            </w14:solidFill>
          </w14:textFill>
        </w:rPr>
      </w:pPr>
    </w:p>
    <w:p w14:paraId="3AA96123">
      <w:pPr>
        <w:spacing w:line="480" w:lineRule="exact"/>
        <w:ind w:firstLine="803"/>
        <w:rPr>
          <w:rFonts w:ascii="宋体" w:hAnsi="宋体"/>
          <w:b/>
          <w:color w:val="000000" w:themeColor="text1"/>
          <w:sz w:val="40"/>
          <w:highlight w:val="none"/>
          <w14:textFill>
            <w14:solidFill>
              <w14:schemeClr w14:val="tx1"/>
            </w14:solidFill>
          </w14:textFill>
        </w:rPr>
      </w:pPr>
    </w:p>
    <w:p w14:paraId="3DA5826A">
      <w:pPr>
        <w:spacing w:line="480" w:lineRule="exact"/>
        <w:ind w:firstLine="803"/>
        <w:rPr>
          <w:rFonts w:ascii="宋体" w:hAnsi="宋体"/>
          <w:b/>
          <w:color w:val="000000" w:themeColor="text1"/>
          <w:sz w:val="40"/>
          <w:highlight w:val="none"/>
          <w14:textFill>
            <w14:solidFill>
              <w14:schemeClr w14:val="tx1"/>
            </w14:solidFill>
          </w14:textFill>
        </w:rPr>
      </w:pPr>
    </w:p>
    <w:p w14:paraId="7ED7A5C0">
      <w:pPr>
        <w:spacing w:line="480" w:lineRule="exact"/>
        <w:ind w:firstLine="803"/>
        <w:rPr>
          <w:rFonts w:ascii="宋体" w:hAnsi="宋体"/>
          <w:b/>
          <w:color w:val="000000" w:themeColor="text1"/>
          <w:sz w:val="40"/>
          <w:highlight w:val="none"/>
          <w14:textFill>
            <w14:solidFill>
              <w14:schemeClr w14:val="tx1"/>
            </w14:solidFill>
          </w14:textFill>
        </w:rPr>
      </w:pPr>
    </w:p>
    <w:p w14:paraId="671FA486">
      <w:pPr>
        <w:spacing w:line="480" w:lineRule="exact"/>
        <w:ind w:firstLine="803"/>
        <w:rPr>
          <w:rFonts w:ascii="宋体" w:hAnsi="宋体"/>
          <w:b/>
          <w:color w:val="000000" w:themeColor="text1"/>
          <w:sz w:val="40"/>
          <w:highlight w:val="none"/>
          <w14:textFill>
            <w14:solidFill>
              <w14:schemeClr w14:val="tx1"/>
            </w14:solidFill>
          </w14:textFill>
        </w:rPr>
      </w:pPr>
    </w:p>
    <w:p w14:paraId="4B037949">
      <w:pPr>
        <w:spacing w:line="480" w:lineRule="exact"/>
        <w:ind w:firstLine="803"/>
        <w:rPr>
          <w:rFonts w:ascii="宋体" w:hAnsi="宋体"/>
          <w:b/>
          <w:color w:val="000000" w:themeColor="text1"/>
          <w:sz w:val="40"/>
          <w:highlight w:val="none"/>
          <w14:textFill>
            <w14:solidFill>
              <w14:schemeClr w14:val="tx1"/>
            </w14:solidFill>
          </w14:textFill>
        </w:rPr>
      </w:pPr>
    </w:p>
    <w:p w14:paraId="1D3F7145">
      <w:pPr>
        <w:spacing w:line="480" w:lineRule="exact"/>
        <w:jc w:val="center"/>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投标人名称 ：</w:t>
      </w:r>
      <w:r>
        <w:rPr>
          <w:rFonts w:hint="eastAsia" w:ascii="宋体" w:hAnsi="宋体"/>
          <w:b/>
          <w:color w:val="000000" w:themeColor="text1"/>
          <w:sz w:val="40"/>
          <w:highlight w:val="none"/>
          <w:u w:val="single"/>
          <w14:textFill>
            <w14:solidFill>
              <w14:schemeClr w14:val="tx1"/>
            </w14:solidFill>
          </w14:textFill>
        </w:rPr>
        <w:t>（加盖CA电子公章）</w:t>
      </w:r>
    </w:p>
    <w:p w14:paraId="63790ADB">
      <w:pPr>
        <w:spacing w:line="480" w:lineRule="exact"/>
        <w:ind w:firstLine="803"/>
        <w:jc w:val="center"/>
        <w:rPr>
          <w:rFonts w:ascii="宋体" w:hAnsi="宋体"/>
          <w:b/>
          <w:color w:val="000000" w:themeColor="text1"/>
          <w:sz w:val="40"/>
          <w:highlight w:val="none"/>
          <w14:textFill>
            <w14:solidFill>
              <w14:schemeClr w14:val="tx1"/>
            </w14:solidFill>
          </w14:textFill>
        </w:rPr>
      </w:pPr>
    </w:p>
    <w:p w14:paraId="5F8A5A72">
      <w:pPr>
        <w:spacing w:line="480" w:lineRule="exact"/>
        <w:ind w:firstLine="2008"/>
        <w:rPr>
          <w:rFonts w:ascii="宋体" w:hAnsi="宋体"/>
          <w:b/>
          <w:color w:val="000000" w:themeColor="text1"/>
          <w:sz w:val="40"/>
          <w:highlight w:val="none"/>
          <w:u w:val="single"/>
          <w14:textFill>
            <w14:solidFill>
              <w14:schemeClr w14:val="tx1"/>
            </w14:solidFill>
          </w14:textFill>
        </w:rPr>
      </w:pPr>
      <w:r>
        <w:rPr>
          <w:rFonts w:hint="eastAsia" w:ascii="宋体" w:hAnsi="宋体"/>
          <w:b/>
          <w:color w:val="000000" w:themeColor="text1"/>
          <w:sz w:val="40"/>
          <w:highlight w:val="none"/>
          <w14:textFill>
            <w14:solidFill>
              <w14:schemeClr w14:val="tx1"/>
            </w14:solidFill>
          </w14:textFill>
        </w:rPr>
        <w:t>日      期 ：</w:t>
      </w:r>
      <w:r>
        <w:rPr>
          <w:rFonts w:hint="eastAsia" w:ascii="宋体" w:hAnsi="宋体"/>
          <w:b/>
          <w:color w:val="000000" w:themeColor="text1"/>
          <w:sz w:val="36"/>
          <w:szCs w:val="24"/>
          <w:highlight w:val="none"/>
          <w14:textFill>
            <w14:solidFill>
              <w14:schemeClr w14:val="tx1"/>
            </w14:solidFill>
          </w14:textFill>
        </w:rPr>
        <w:t>2025</w:t>
      </w:r>
      <w:r>
        <w:rPr>
          <w:b/>
          <w:color w:val="000000" w:themeColor="text1"/>
          <w:sz w:val="40"/>
          <w:szCs w:val="40"/>
          <w:highlight w:val="none"/>
          <w14:textFill>
            <w14:solidFill>
              <w14:schemeClr w14:val="tx1"/>
            </w14:solidFill>
          </w14:textFill>
        </w:rPr>
        <w:t>年</w:t>
      </w:r>
      <w:r>
        <w:rPr>
          <w:rFonts w:hint="eastAsia"/>
          <w:b/>
          <w:color w:val="000000" w:themeColor="text1"/>
          <w:sz w:val="40"/>
          <w:szCs w:val="40"/>
          <w:highlight w:val="none"/>
          <w14:textFill>
            <w14:solidFill>
              <w14:schemeClr w14:val="tx1"/>
            </w14:solidFill>
          </w14:textFill>
        </w:rPr>
        <w:t xml:space="preserve">   </w:t>
      </w:r>
      <w:r>
        <w:rPr>
          <w:b/>
          <w:color w:val="000000" w:themeColor="text1"/>
          <w:sz w:val="40"/>
          <w:szCs w:val="40"/>
          <w:highlight w:val="none"/>
          <w14:textFill>
            <w14:solidFill>
              <w14:schemeClr w14:val="tx1"/>
            </w14:solidFill>
          </w14:textFill>
        </w:rPr>
        <w:t>月     日</w:t>
      </w:r>
    </w:p>
    <w:p w14:paraId="2EEF8AD6">
      <w:pPr>
        <w:spacing w:line="440" w:lineRule="exact"/>
        <w:rPr>
          <w:rFonts w:ascii="宋体" w:hAnsi="宋体"/>
          <w:color w:val="000000" w:themeColor="text1"/>
          <w:szCs w:val="21"/>
          <w:highlight w:val="none"/>
          <w14:textFill>
            <w14:solidFill>
              <w14:schemeClr w14:val="tx1"/>
            </w14:solidFill>
          </w14:textFill>
        </w:rPr>
      </w:pPr>
    </w:p>
    <w:p w14:paraId="1CAC8AFB">
      <w:pPr>
        <w:widowControl/>
        <w:ind w:firstLine="643"/>
        <w:jc w:val="lef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clear="all"/>
      </w:r>
    </w:p>
    <w:p w14:paraId="21FC3A42">
      <w:pPr>
        <w:spacing w:line="440" w:lineRule="exact"/>
        <w:ind w:firstLine="643"/>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投标文件目录</w:t>
      </w:r>
    </w:p>
    <w:p w14:paraId="71248CCE">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一、基本目录</w:t>
      </w:r>
    </w:p>
    <w:p w14:paraId="6C9AF4FD">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1、开标一览表（格式见附件）</w:t>
      </w:r>
    </w:p>
    <w:p w14:paraId="447C2261">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二、资格审查内容</w:t>
      </w:r>
    </w:p>
    <w:p w14:paraId="477CD962">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满足《中华人民共和国政府采购法》第二十二条规定，并提供下列材料：</w:t>
      </w:r>
    </w:p>
    <w:p w14:paraId="09467492">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1.1 法人或者其他组织的营业执照等证明文件；</w:t>
      </w:r>
    </w:p>
    <w:p w14:paraId="008C103F">
      <w:pPr>
        <w:spacing w:line="440" w:lineRule="exact"/>
        <w:ind w:firstLine="72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 最近一期的财务报告（财务报表）或金融机构（中介机构）出具的资信证明</w:t>
      </w:r>
      <w:r>
        <w:rPr>
          <w:rFonts w:hint="eastAsia" w:ascii="宋体" w:hAnsi="宋体" w:cs="宋体"/>
          <w:color w:val="000000" w:themeColor="text1"/>
          <w:sz w:val="24"/>
          <w:szCs w:val="24"/>
          <w:highlight w:val="none"/>
          <w14:textFill>
            <w14:solidFill>
              <w14:schemeClr w14:val="tx1"/>
            </w14:solidFill>
          </w14:textFill>
        </w:rPr>
        <w:t>；</w:t>
      </w:r>
    </w:p>
    <w:p w14:paraId="417AE692">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 具备履行合同所必需的设备和专业技术能力的书面声明（格式见附件）；</w:t>
      </w:r>
    </w:p>
    <w:p w14:paraId="1CF9E6A7">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1.4 依法缴纳税收和社会保障资金的相关材料（提供投标截止时间前一年内至少一个月依法缴纳税收及缴纳社会保障资金的证明材料</w:t>
      </w:r>
      <w:r>
        <w:rPr>
          <w:rFonts w:hint="eastAsia" w:ascii="宋体" w:hAnsi="宋体" w:cs="宋体"/>
          <w:color w:val="000000" w:themeColor="text1"/>
          <w:sz w:val="24"/>
          <w:szCs w:val="24"/>
          <w:highlight w:val="none"/>
          <w14:textFill>
            <w14:solidFill>
              <w14:schemeClr w14:val="tx1"/>
            </w14:solidFill>
          </w14:textFill>
        </w:rPr>
        <w:t>，如投标人缴纳税收的凭据、缴纳社会保险的专用收据或社会保险缴纳清单</w:t>
      </w:r>
      <w:r>
        <w:rPr>
          <w:rFonts w:hint="eastAsia" w:ascii="宋体" w:hAnsi="宋体" w:cs="宋体"/>
          <w:color w:val="000000" w:themeColor="text1"/>
          <w:sz w:val="24"/>
          <w:highlight w:val="none"/>
          <w14:textFill>
            <w14:solidFill>
              <w14:schemeClr w14:val="tx1"/>
            </w14:solidFill>
          </w14:textFill>
        </w:rPr>
        <w:t>。投标人依法享受免缴税收、社会保障资金的提供证明材料。）</w:t>
      </w:r>
    </w:p>
    <w:p w14:paraId="44B658E5">
      <w:pPr>
        <w:spacing w:line="440" w:lineRule="exact"/>
        <w:ind w:firstLine="72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1.5 参加政府采购活动前 3 年内在经营活动中没有重大违法记录的书面声明（格式见附件）</w:t>
      </w:r>
    </w:p>
    <w:p w14:paraId="27DD2316">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三、符合性审查内容</w:t>
      </w:r>
    </w:p>
    <w:p w14:paraId="6465BEE9">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1、投标函（格式见附件）</w:t>
      </w:r>
    </w:p>
    <w:p w14:paraId="71629B9F">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2、报价明细表（格式见附件）</w:t>
      </w:r>
    </w:p>
    <w:p w14:paraId="7B1EAC2B">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3、法人授权书（格式见附件，</w:t>
      </w:r>
      <w:r>
        <w:rPr>
          <w:rFonts w:ascii="宋体" w:hAnsi="宋体"/>
          <w:b/>
          <w:color w:val="000000" w:themeColor="text1"/>
          <w:sz w:val="24"/>
          <w:highlight w:val="none"/>
          <w14:textFill>
            <w14:solidFill>
              <w14:schemeClr w14:val="tx1"/>
            </w14:solidFill>
          </w14:textFill>
        </w:rPr>
        <w:t>①</w:t>
      </w:r>
      <w:r>
        <w:rPr>
          <w:rFonts w:hint="eastAsia" w:ascii="宋体" w:hAnsi="宋体"/>
          <w:b/>
          <w:color w:val="000000" w:themeColor="text1"/>
          <w:sz w:val="24"/>
          <w:highlight w:val="none"/>
          <w14:textFill>
            <w14:solidFill>
              <w14:schemeClr w14:val="tx1"/>
            </w14:solidFill>
          </w14:textFill>
        </w:rPr>
        <w:t>如授权代表参加本项目投报，“法人授权书”必须提供，且须提供</w:t>
      </w:r>
      <w:r>
        <w:rPr>
          <w:rFonts w:ascii="Times New Roman" w:hAnsi="Times New Roman"/>
          <w:b/>
          <w:color w:val="000000" w:themeColor="text1"/>
          <w:sz w:val="24"/>
          <w:szCs w:val="24"/>
          <w:highlight w:val="none"/>
          <w14:textFill>
            <w14:solidFill>
              <w14:schemeClr w14:val="tx1"/>
            </w14:solidFill>
          </w14:textFill>
        </w:rPr>
        <w:t>被授权人</w:t>
      </w:r>
      <w:r>
        <w:rPr>
          <w:rFonts w:hint="eastAsia" w:ascii="宋体" w:hAnsi="宋体"/>
          <w:b/>
          <w:color w:val="000000" w:themeColor="text1"/>
          <w:sz w:val="24"/>
          <w:highlight w:val="none"/>
          <w14:textFill>
            <w14:solidFill>
              <w14:schemeClr w14:val="tx1"/>
            </w14:solidFill>
          </w14:textFill>
        </w:rPr>
        <w:t>居民身份证正反面扫描件、法定代表人居民身份证正反面扫描件。②如法定代表人参加本项目投报，“法人授权书”可不提供，但须提供法定代表人身份证正反面扫描件。</w:t>
      </w:r>
      <w:r>
        <w:rPr>
          <w:rFonts w:hint="eastAsia" w:ascii="宋体" w:hAnsi="宋体" w:cs="宋体"/>
          <w:color w:val="000000" w:themeColor="text1"/>
          <w:sz w:val="24"/>
          <w:highlight w:val="none"/>
          <w14:textFill>
            <w14:solidFill>
              <w14:schemeClr w14:val="tx1"/>
            </w14:solidFill>
          </w14:textFill>
        </w:rPr>
        <w:t>）</w:t>
      </w:r>
    </w:p>
    <w:p w14:paraId="12D11C6D">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4、实质性要求响应及偏离表（格式见附件）</w:t>
      </w:r>
    </w:p>
    <w:p w14:paraId="02805BCC">
      <w:pPr>
        <w:spacing w:line="440" w:lineRule="exact"/>
        <w:ind w:firstLine="482"/>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四、综合评审文件</w:t>
      </w:r>
    </w:p>
    <w:p w14:paraId="72CED114">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hint="eastAsia" w:ascii="Times New Roman" w:hAnsi="Times New Roman"/>
          <w:color w:val="000000" w:themeColor="text1"/>
          <w:sz w:val="24"/>
          <w:szCs w:val="24"/>
          <w:highlight w:val="none"/>
          <w:lang w:bidi="ar"/>
          <w14:textFill>
            <w14:solidFill>
              <w14:schemeClr w14:val="tx1"/>
            </w14:solidFill>
          </w14:textFill>
        </w:rPr>
        <w:t>技术要求响应及偏离表</w:t>
      </w:r>
      <w:r>
        <w:rPr>
          <w:rFonts w:hint="eastAsia" w:ascii="宋体" w:hAnsi="宋体" w:cs="宋体"/>
          <w:color w:val="000000" w:themeColor="text1"/>
          <w:sz w:val="24"/>
          <w:highlight w:val="none"/>
          <w14:textFill>
            <w14:solidFill>
              <w14:schemeClr w14:val="tx1"/>
            </w14:solidFill>
          </w14:textFill>
        </w:rPr>
        <w:t>（格式见附件）</w:t>
      </w:r>
    </w:p>
    <w:p w14:paraId="6BCE2B2E">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2、项目方案（格式见附件）</w:t>
      </w:r>
    </w:p>
    <w:p w14:paraId="3DCECBD7">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w:t>
      </w:r>
      <w:r>
        <w:rPr>
          <w:rFonts w:hint="eastAsia" w:ascii="Times New Roman" w:hAnsi="Times New Roman"/>
          <w:color w:val="000000" w:themeColor="text1"/>
          <w:sz w:val="24"/>
          <w:szCs w:val="24"/>
          <w:highlight w:val="none"/>
          <w:lang w:bidi="ar"/>
          <w14:textFill>
            <w14:solidFill>
              <w14:schemeClr w14:val="tx1"/>
            </w14:solidFill>
          </w14:textFill>
        </w:rPr>
        <w:t>质量保证及售后服务</w:t>
      </w:r>
      <w:r>
        <w:rPr>
          <w:rFonts w:hint="eastAsia" w:ascii="宋体" w:hAnsi="宋体" w:cs="宋体"/>
          <w:color w:val="000000" w:themeColor="text1"/>
          <w:sz w:val="24"/>
          <w:highlight w:val="none"/>
          <w14:textFill>
            <w14:solidFill>
              <w14:schemeClr w14:val="tx1"/>
            </w14:solidFill>
          </w14:textFill>
        </w:rPr>
        <w:t>（格式见附件）</w:t>
      </w:r>
    </w:p>
    <w:p w14:paraId="174D6196">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4、业绩一览表（格式详见附件）</w:t>
      </w:r>
    </w:p>
    <w:p w14:paraId="5358B720">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5、商务要求响应及偏离表（格式详见附件）</w:t>
      </w:r>
    </w:p>
    <w:p w14:paraId="2155B877">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6、</w:t>
      </w:r>
      <w:r>
        <w:rPr>
          <w:rFonts w:hint="eastAsia" w:ascii="宋体" w:hAnsi="宋体" w:cs="宋体"/>
          <w:bCs/>
          <w:color w:val="000000" w:themeColor="text1"/>
          <w:sz w:val="24"/>
          <w:szCs w:val="24"/>
          <w:highlight w:val="none"/>
          <w14:textFill>
            <w14:solidFill>
              <w14:schemeClr w14:val="tx1"/>
            </w14:solidFill>
          </w14:textFill>
        </w:rPr>
        <w:t>中小企业声明函（格式见附件）或残疾人福利性单位声明函（格式见附件）或省级以上监狱管理局、戒毒管理局（含新疆生产建设兵团）出具的属于监狱企业的证明文件。</w:t>
      </w:r>
    </w:p>
    <w:p w14:paraId="5EB12A8F">
      <w:pPr>
        <w:spacing w:line="440" w:lineRule="exact"/>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7、其他</w:t>
      </w:r>
    </w:p>
    <w:p w14:paraId="36391EE4">
      <w:pPr>
        <w:spacing w:line="440" w:lineRule="exact"/>
        <w:ind w:firstLine="482"/>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备注：针对“二、资格审查内容”和“三、符合性审查内容”，投标人必须在投标文件中提供相关材料，若有缺失或无效的，将导致其投标无效。</w:t>
      </w:r>
    </w:p>
    <w:p w14:paraId="590A4AB3">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444" w:name="_Toc8405"/>
      <w:bookmarkStart w:id="445" w:name="_Toc6253"/>
      <w:bookmarkStart w:id="446" w:name="_Toc31229"/>
      <w:bookmarkStart w:id="447" w:name="_Toc12484"/>
      <w:r>
        <w:rPr>
          <w:rFonts w:hint="eastAsia" w:ascii="Times New Roman" w:hAnsi="Times New Roman"/>
          <w:b/>
          <w:bCs/>
          <w:color w:val="000000" w:themeColor="text1"/>
          <w:sz w:val="28"/>
          <w:szCs w:val="28"/>
          <w:highlight w:val="none"/>
          <w14:textFill>
            <w14:solidFill>
              <w14:schemeClr w14:val="tx1"/>
            </w14:solidFill>
          </w14:textFill>
        </w:rPr>
        <w:t>附件1 开标一览表</w:t>
      </w:r>
      <w:bookmarkEnd w:id="444"/>
      <w:bookmarkEnd w:id="445"/>
      <w:bookmarkEnd w:id="446"/>
      <w:bookmarkEnd w:id="447"/>
    </w:p>
    <w:p w14:paraId="2C3C47F4">
      <w:pPr>
        <w:ind w:firstLine="482"/>
        <w:rPr>
          <w:rFonts w:ascii="宋体" w:hAnsi="宋体"/>
          <w:b/>
          <w:color w:val="000000" w:themeColor="text1"/>
          <w:sz w:val="24"/>
          <w:szCs w:val="24"/>
          <w:highlight w:val="none"/>
          <w14:textFill>
            <w14:solidFill>
              <w14:schemeClr w14:val="tx1"/>
            </w14:solidFill>
          </w14:textFill>
        </w:rPr>
      </w:pPr>
    </w:p>
    <w:p w14:paraId="00E1580F">
      <w:pPr>
        <w:spacing w:line="440" w:lineRule="exact"/>
        <w:ind w:firstLine="48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投标人全称（加盖CA电子签章）：</w:t>
      </w:r>
    </w:p>
    <w:p w14:paraId="1A6D713C">
      <w:pPr>
        <w:spacing w:line="440" w:lineRule="exact"/>
        <w:ind w:firstLine="482"/>
        <w:rPr>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项目名称：昆承湖幸福河湖建设信息化设备</w:t>
      </w:r>
    </w:p>
    <w:p w14:paraId="2314668D">
      <w:pPr>
        <w:spacing w:line="440" w:lineRule="exact"/>
        <w:ind w:firstLine="482"/>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项目编号：</w:t>
      </w:r>
      <w:bookmarkEnd w:id="241"/>
      <w:bookmarkEnd w:id="242"/>
      <w:bookmarkEnd w:id="441"/>
      <w:bookmarkEnd w:id="442"/>
      <w:bookmarkEnd w:id="443"/>
      <w:r>
        <w:rPr>
          <w:rFonts w:hint="eastAsia" w:ascii="宋体" w:hAnsi="宋体"/>
          <w:color w:val="000000" w:themeColor="text1"/>
          <w:sz w:val="24"/>
          <w:szCs w:val="24"/>
          <w:highlight w:val="none"/>
          <w:lang w:eastAsia="zh-CN"/>
          <w14:textFill>
            <w14:solidFill>
              <w14:schemeClr w14:val="tx1"/>
            </w14:solidFill>
          </w14:textFill>
        </w:rPr>
        <w:t>JSZC-320581-SZXY-G2025-0056</w:t>
      </w:r>
    </w:p>
    <w:tbl>
      <w:tblPr>
        <w:tblStyle w:val="42"/>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0"/>
      </w:tblGrid>
      <w:tr w14:paraId="77486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1" w:hRule="atLeast"/>
          <w:jc w:val="center"/>
        </w:trPr>
        <w:tc>
          <w:tcPr>
            <w:tcW w:w="9340" w:type="dxa"/>
            <w:noWrap w:val="0"/>
            <w:vAlign w:val="center"/>
          </w:tcPr>
          <w:p w14:paraId="52F2C15E">
            <w:pPr>
              <w:pStyle w:val="39"/>
              <w:widowControl w:val="0"/>
              <w:spacing w:before="0" w:beforeAutospacing="0" w:after="0" w:afterAutospacing="0"/>
              <w:jc w:val="center"/>
              <w:rPr>
                <w:color w:val="000000" w:themeColor="text1"/>
                <w:highlight w:val="none"/>
                <w14:textFill>
                  <w14:solidFill>
                    <w14:schemeClr w14:val="tx1"/>
                  </w14:solidFill>
                </w14:textFill>
              </w:rPr>
            </w:pPr>
            <w:r>
              <w:rPr>
                <w:rFonts w:hint="eastAsia"/>
                <w:color w:val="000000" w:themeColor="text1"/>
                <w:highlight w:val="none"/>
                <w:lang w:bidi="ar"/>
                <w14:textFill>
                  <w14:solidFill>
                    <w14:schemeClr w14:val="tx1"/>
                  </w14:solidFill>
                </w14:textFill>
              </w:rPr>
              <w:t>投标总价</w:t>
            </w:r>
          </w:p>
        </w:tc>
      </w:tr>
      <w:tr w14:paraId="588E1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0" w:hRule="atLeast"/>
          <w:jc w:val="center"/>
        </w:trPr>
        <w:tc>
          <w:tcPr>
            <w:tcW w:w="9340" w:type="dxa"/>
            <w:noWrap w:val="0"/>
            <w:vAlign w:val="center"/>
          </w:tcPr>
          <w:p w14:paraId="09B0C9C7">
            <w:pPr>
              <w:pStyle w:val="39"/>
              <w:widowControl w:val="0"/>
              <w:spacing w:before="0" w:beforeAutospacing="0" w:after="0" w:afterAutospacing="0"/>
              <w:jc w:val="center"/>
              <w:rPr>
                <w:color w:val="000000" w:themeColor="text1"/>
                <w:highlight w:val="none"/>
                <w14:textFill>
                  <w14:solidFill>
                    <w14:schemeClr w14:val="tx1"/>
                  </w14:solidFill>
                </w14:textFill>
              </w:rPr>
            </w:pPr>
            <w:r>
              <w:rPr>
                <w:rFonts w:hint="eastAsia"/>
                <w:color w:val="000000" w:themeColor="text1"/>
                <w:highlight w:val="none"/>
                <w:lang w:bidi="ar"/>
                <w14:textFill>
                  <w14:solidFill>
                    <w14:schemeClr w14:val="tx1"/>
                  </w14:solidFill>
                </w14:textFill>
              </w:rPr>
              <w:t>小写：                    （人民币：        元）</w:t>
            </w:r>
          </w:p>
        </w:tc>
      </w:tr>
    </w:tbl>
    <w:p w14:paraId="7EE125B6">
      <w:pPr>
        <w:ind w:firstLine="482"/>
        <w:rPr>
          <w:rFonts w:ascii="宋体" w:hAnsi="宋体"/>
          <w:b/>
          <w:color w:val="000000" w:themeColor="text1"/>
          <w:sz w:val="24"/>
          <w:szCs w:val="24"/>
          <w:highlight w:val="none"/>
          <w14:textFill>
            <w14:solidFill>
              <w14:schemeClr w14:val="tx1"/>
            </w14:solidFill>
          </w14:textFill>
        </w:rPr>
      </w:pPr>
    </w:p>
    <w:p w14:paraId="1A7614BC">
      <w:pPr>
        <w:ind w:firstLine="482"/>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br w:type="page" w:clear="all"/>
      </w:r>
    </w:p>
    <w:p w14:paraId="7DF2350B">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448" w:name="_Toc27326"/>
      <w:bookmarkStart w:id="449" w:name="_Toc189"/>
      <w:bookmarkStart w:id="450" w:name="_Toc6262"/>
      <w:bookmarkStart w:id="451" w:name="_Toc31846"/>
      <w:bookmarkStart w:id="452" w:name="_Toc12056"/>
      <w:r>
        <w:rPr>
          <w:rFonts w:hint="eastAsia" w:ascii="Times New Roman" w:hAnsi="Times New Roman"/>
          <w:b/>
          <w:bCs/>
          <w:color w:val="000000" w:themeColor="text1"/>
          <w:sz w:val="28"/>
          <w:szCs w:val="28"/>
          <w:highlight w:val="none"/>
          <w14:textFill>
            <w14:solidFill>
              <w14:schemeClr w14:val="tx1"/>
            </w14:solidFill>
          </w14:textFill>
        </w:rPr>
        <w:t>附件2 报价明细表</w:t>
      </w:r>
      <w:bookmarkEnd w:id="448"/>
      <w:bookmarkEnd w:id="449"/>
      <w:bookmarkEnd w:id="450"/>
      <w:bookmarkEnd w:id="451"/>
      <w:bookmarkEnd w:id="452"/>
    </w:p>
    <w:tbl>
      <w:tblPr>
        <w:tblStyle w:val="42"/>
        <w:tblW w:w="10065"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1548"/>
        <w:gridCol w:w="851"/>
        <w:gridCol w:w="1559"/>
        <w:gridCol w:w="851"/>
        <w:gridCol w:w="992"/>
        <w:gridCol w:w="1276"/>
        <w:gridCol w:w="1275"/>
        <w:gridCol w:w="993"/>
      </w:tblGrid>
      <w:tr w14:paraId="41B46F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5FF838B">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编号</w:t>
            </w:r>
          </w:p>
        </w:tc>
        <w:tc>
          <w:tcPr>
            <w:tcW w:w="1548" w:type="dxa"/>
            <w:tcBorders>
              <w:top w:val="single" w:color="auto" w:sz="4" w:space="0"/>
              <w:left w:val="single" w:color="auto" w:sz="4" w:space="0"/>
              <w:bottom w:val="single" w:color="auto" w:sz="4" w:space="0"/>
              <w:right w:val="single" w:color="auto" w:sz="4" w:space="0"/>
            </w:tcBorders>
            <w:noWrap w:val="0"/>
            <w:vAlign w:val="center"/>
          </w:tcPr>
          <w:p w14:paraId="2ECDB4EA">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货物名称</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431826DE">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品牌</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57EC32B">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规格型号</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2E78EB38">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单位</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061CF22">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数量</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1136967">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单价（元）</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5BEEFE18">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合计（元）</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3402FE08">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备注</w:t>
            </w:r>
          </w:p>
        </w:tc>
      </w:tr>
      <w:tr w14:paraId="4651F3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365EF0B5">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0"/>
                <w:highlight w:val="none"/>
                <w:lang w:bidi="ar"/>
                <w14:textFill>
                  <w14:solidFill>
                    <w14:schemeClr w14:val="tx1"/>
                  </w14:solidFill>
                </w14:textFill>
              </w:rPr>
              <w:t>1</w:t>
            </w: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A33E45A">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B6CD914">
            <w:pPr>
              <w:jc w:val="center"/>
              <w:rPr>
                <w:rFonts w:ascii="Times New Roman" w:hAnsi="Times New Roman"/>
                <w:color w:val="000000" w:themeColor="text1"/>
                <w:sz w:val="24"/>
                <w:szCs w:val="20"/>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7E36572">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E696CF4">
            <w:pPr>
              <w:jc w:val="center"/>
              <w:rPr>
                <w:rFonts w:ascii="Times New Roman" w:hAnsi="Times New Roman"/>
                <w:color w:val="000000" w:themeColor="text1"/>
                <w:sz w:val="24"/>
                <w:szCs w:val="20"/>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8E811F1">
            <w:pPr>
              <w:jc w:val="center"/>
              <w:rPr>
                <w:rFonts w:ascii="Times New Roman" w:hAnsi="Times New Roman"/>
                <w:color w:val="000000" w:themeColor="text1"/>
                <w:sz w:val="24"/>
                <w:szCs w:val="20"/>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AD1A42A">
            <w:pPr>
              <w:jc w:val="center"/>
              <w:rPr>
                <w:rFonts w:ascii="Times New Roman" w:hAnsi="Times New Roman"/>
                <w:color w:val="000000" w:themeColor="text1"/>
                <w:sz w:val="24"/>
                <w:szCs w:val="20"/>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noWrap w:val="0"/>
          </w:tcPr>
          <w:p w14:paraId="01F3A26C">
            <w:pPr>
              <w:jc w:val="center"/>
              <w:rPr>
                <w:rFonts w:ascii="Times New Roman" w:hAnsi="Times New Roman"/>
                <w:color w:val="000000" w:themeColor="text1"/>
                <w:sz w:val="24"/>
                <w:szCs w:val="20"/>
                <w:highlight w:val="none"/>
                <w14:textFill>
                  <w14:solidFill>
                    <w14:schemeClr w14:val="tx1"/>
                  </w14:solidFill>
                </w14:textFill>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4C34276D">
            <w:pPr>
              <w:jc w:val="center"/>
              <w:rPr>
                <w:rFonts w:ascii="Times New Roman" w:hAnsi="Times New Roman"/>
                <w:color w:val="000000" w:themeColor="text1"/>
                <w:sz w:val="24"/>
                <w:szCs w:val="20"/>
                <w:highlight w:val="none"/>
                <w14:textFill>
                  <w14:solidFill>
                    <w14:schemeClr w14:val="tx1"/>
                  </w14:solidFill>
                </w14:textFill>
              </w:rPr>
            </w:pPr>
          </w:p>
        </w:tc>
      </w:tr>
      <w:tr w14:paraId="7D8CB30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4EB14343">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0"/>
                <w:highlight w:val="none"/>
                <w:lang w:bidi="ar"/>
                <w14:textFill>
                  <w14:solidFill>
                    <w14:schemeClr w14:val="tx1"/>
                  </w14:solidFill>
                </w14:textFill>
              </w:rPr>
              <w:t>2</w:t>
            </w: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0086D22">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B33DC13">
            <w:pPr>
              <w:jc w:val="center"/>
              <w:rPr>
                <w:rFonts w:ascii="Times New Roman" w:hAnsi="Times New Roman"/>
                <w:color w:val="000000" w:themeColor="text1"/>
                <w:sz w:val="24"/>
                <w:szCs w:val="20"/>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54EF1139">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1409A74D">
            <w:pPr>
              <w:jc w:val="center"/>
              <w:rPr>
                <w:rFonts w:ascii="Times New Roman" w:hAnsi="Times New Roman"/>
                <w:color w:val="000000" w:themeColor="text1"/>
                <w:sz w:val="24"/>
                <w:szCs w:val="20"/>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C64CCD1">
            <w:pPr>
              <w:jc w:val="center"/>
              <w:rPr>
                <w:rFonts w:ascii="Times New Roman" w:hAnsi="Times New Roman"/>
                <w:color w:val="000000" w:themeColor="text1"/>
                <w:sz w:val="24"/>
                <w:szCs w:val="20"/>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D1D2FC5">
            <w:pPr>
              <w:jc w:val="center"/>
              <w:rPr>
                <w:rFonts w:ascii="Times New Roman" w:hAnsi="Times New Roman"/>
                <w:color w:val="000000" w:themeColor="text1"/>
                <w:sz w:val="24"/>
                <w:szCs w:val="20"/>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noWrap w:val="0"/>
          </w:tcPr>
          <w:p w14:paraId="50C41E09">
            <w:pPr>
              <w:jc w:val="center"/>
              <w:rPr>
                <w:rFonts w:ascii="Times New Roman" w:hAnsi="Times New Roman"/>
                <w:color w:val="000000" w:themeColor="text1"/>
                <w:sz w:val="24"/>
                <w:szCs w:val="20"/>
                <w:highlight w:val="none"/>
                <w14:textFill>
                  <w14:solidFill>
                    <w14:schemeClr w14:val="tx1"/>
                  </w14:solidFill>
                </w14:textFill>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7F7C2D99">
            <w:pPr>
              <w:jc w:val="center"/>
              <w:rPr>
                <w:rFonts w:ascii="Times New Roman" w:hAnsi="Times New Roman"/>
                <w:color w:val="000000" w:themeColor="text1"/>
                <w:sz w:val="24"/>
                <w:szCs w:val="20"/>
                <w:highlight w:val="none"/>
                <w14:textFill>
                  <w14:solidFill>
                    <w14:schemeClr w14:val="tx1"/>
                  </w14:solidFill>
                </w14:textFill>
              </w:rPr>
            </w:pPr>
          </w:p>
        </w:tc>
      </w:tr>
      <w:tr w14:paraId="09E7772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693740C8">
            <w:pPr>
              <w:jc w:val="center"/>
              <w:rPr>
                <w:rFonts w:ascii="Times New Roman" w:hAnsi="Times New Roman"/>
                <w:color w:val="000000" w:themeColor="text1"/>
                <w:sz w:val="24"/>
                <w:szCs w:val="20"/>
                <w:highlight w:val="none"/>
                <w14:textFill>
                  <w14:solidFill>
                    <w14:schemeClr w14:val="tx1"/>
                  </w14:solidFill>
                </w14:textFill>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09AE1A55">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107DB02B">
            <w:pPr>
              <w:jc w:val="center"/>
              <w:rPr>
                <w:rFonts w:ascii="Times New Roman" w:hAnsi="Times New Roman"/>
                <w:color w:val="000000" w:themeColor="text1"/>
                <w:sz w:val="24"/>
                <w:szCs w:val="20"/>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C83EFC3">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F9FAA0F">
            <w:pPr>
              <w:jc w:val="center"/>
              <w:rPr>
                <w:rFonts w:ascii="Times New Roman" w:hAnsi="Times New Roman"/>
                <w:color w:val="000000" w:themeColor="text1"/>
                <w:sz w:val="24"/>
                <w:szCs w:val="20"/>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A6FDF61">
            <w:pPr>
              <w:jc w:val="center"/>
              <w:rPr>
                <w:rFonts w:ascii="Times New Roman" w:hAnsi="Times New Roman"/>
                <w:color w:val="000000" w:themeColor="text1"/>
                <w:sz w:val="24"/>
                <w:szCs w:val="20"/>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337420B4">
            <w:pPr>
              <w:jc w:val="center"/>
              <w:rPr>
                <w:rFonts w:ascii="Times New Roman" w:hAnsi="Times New Roman"/>
                <w:color w:val="000000" w:themeColor="text1"/>
                <w:sz w:val="24"/>
                <w:szCs w:val="20"/>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noWrap w:val="0"/>
          </w:tcPr>
          <w:p w14:paraId="73190C70">
            <w:pPr>
              <w:jc w:val="center"/>
              <w:rPr>
                <w:rFonts w:ascii="Times New Roman" w:hAnsi="Times New Roman"/>
                <w:color w:val="000000" w:themeColor="text1"/>
                <w:sz w:val="24"/>
                <w:szCs w:val="20"/>
                <w:highlight w:val="none"/>
                <w14:textFill>
                  <w14:solidFill>
                    <w14:schemeClr w14:val="tx1"/>
                  </w14:solidFill>
                </w14:textFill>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04BC019C">
            <w:pPr>
              <w:jc w:val="center"/>
              <w:rPr>
                <w:rFonts w:ascii="Times New Roman" w:hAnsi="Times New Roman"/>
                <w:color w:val="000000" w:themeColor="text1"/>
                <w:sz w:val="24"/>
                <w:szCs w:val="20"/>
                <w:highlight w:val="none"/>
                <w14:textFill>
                  <w14:solidFill>
                    <w14:schemeClr w14:val="tx1"/>
                  </w14:solidFill>
                </w14:textFill>
              </w:rPr>
            </w:pPr>
          </w:p>
        </w:tc>
      </w:tr>
      <w:tr w14:paraId="25E7266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190E5F80">
            <w:pPr>
              <w:jc w:val="center"/>
              <w:rPr>
                <w:rFonts w:ascii="Times New Roman" w:hAnsi="Times New Roman"/>
                <w:color w:val="000000" w:themeColor="text1"/>
                <w:sz w:val="24"/>
                <w:szCs w:val="20"/>
                <w:highlight w:val="none"/>
                <w14:textFill>
                  <w14:solidFill>
                    <w14:schemeClr w14:val="tx1"/>
                  </w14:solidFill>
                </w14:textFill>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36D676BF">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00B164F">
            <w:pPr>
              <w:jc w:val="center"/>
              <w:rPr>
                <w:rFonts w:ascii="Times New Roman" w:hAnsi="Times New Roman"/>
                <w:color w:val="000000" w:themeColor="text1"/>
                <w:sz w:val="24"/>
                <w:szCs w:val="20"/>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001ED35">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2082D7E">
            <w:pPr>
              <w:jc w:val="center"/>
              <w:rPr>
                <w:rFonts w:ascii="Times New Roman" w:hAnsi="Times New Roman"/>
                <w:color w:val="000000" w:themeColor="text1"/>
                <w:sz w:val="24"/>
                <w:szCs w:val="20"/>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D891181">
            <w:pPr>
              <w:jc w:val="center"/>
              <w:rPr>
                <w:rFonts w:ascii="Times New Roman" w:hAnsi="Times New Roman"/>
                <w:color w:val="000000" w:themeColor="text1"/>
                <w:sz w:val="24"/>
                <w:szCs w:val="20"/>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148B0EF2">
            <w:pPr>
              <w:jc w:val="center"/>
              <w:rPr>
                <w:rFonts w:ascii="Times New Roman" w:hAnsi="Times New Roman"/>
                <w:color w:val="000000" w:themeColor="text1"/>
                <w:sz w:val="24"/>
                <w:szCs w:val="20"/>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noWrap w:val="0"/>
          </w:tcPr>
          <w:p w14:paraId="2D684804">
            <w:pPr>
              <w:jc w:val="center"/>
              <w:rPr>
                <w:rFonts w:ascii="Times New Roman" w:hAnsi="Times New Roman"/>
                <w:color w:val="000000" w:themeColor="text1"/>
                <w:sz w:val="24"/>
                <w:szCs w:val="20"/>
                <w:highlight w:val="none"/>
                <w14:textFill>
                  <w14:solidFill>
                    <w14:schemeClr w14:val="tx1"/>
                  </w14:solidFill>
                </w14:textFill>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729B5920">
            <w:pPr>
              <w:jc w:val="center"/>
              <w:rPr>
                <w:rFonts w:ascii="Times New Roman" w:hAnsi="Times New Roman"/>
                <w:color w:val="000000" w:themeColor="text1"/>
                <w:sz w:val="24"/>
                <w:szCs w:val="20"/>
                <w:highlight w:val="none"/>
                <w14:textFill>
                  <w14:solidFill>
                    <w14:schemeClr w14:val="tx1"/>
                  </w14:solidFill>
                </w14:textFill>
              </w:rPr>
            </w:pPr>
          </w:p>
        </w:tc>
      </w:tr>
      <w:tr w14:paraId="74C2166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720" w:type="dxa"/>
            <w:tcBorders>
              <w:top w:val="single" w:color="auto" w:sz="4" w:space="0"/>
              <w:left w:val="single" w:color="auto" w:sz="4" w:space="0"/>
              <w:bottom w:val="single" w:color="auto" w:sz="4" w:space="0"/>
              <w:right w:val="single" w:color="auto" w:sz="4" w:space="0"/>
            </w:tcBorders>
            <w:noWrap w:val="0"/>
            <w:vAlign w:val="center"/>
          </w:tcPr>
          <w:p w14:paraId="2CABE2C4">
            <w:pPr>
              <w:widowControl/>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w:t>
            </w: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0A52A3C">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9820F33">
            <w:pPr>
              <w:jc w:val="center"/>
              <w:rPr>
                <w:rFonts w:ascii="Times New Roman" w:hAnsi="Times New Roman"/>
                <w:color w:val="000000" w:themeColor="text1"/>
                <w:sz w:val="24"/>
                <w:szCs w:val="20"/>
                <w:highlight w:val="none"/>
                <w14:textFill>
                  <w14:solidFill>
                    <w14:schemeClr w14:val="tx1"/>
                  </w14:solidFill>
                </w14:textFill>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E30070A">
            <w:pPr>
              <w:jc w:val="center"/>
              <w:rPr>
                <w:rFonts w:ascii="Times New Roman" w:hAnsi="Times New Roman"/>
                <w:color w:val="000000" w:themeColor="text1"/>
                <w:sz w:val="24"/>
                <w:szCs w:val="20"/>
                <w:highlight w:val="none"/>
                <w14:textFill>
                  <w14:solidFill>
                    <w14:schemeClr w14:val="tx1"/>
                  </w14:solidFill>
                </w14:textFill>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9B5F4B2">
            <w:pPr>
              <w:jc w:val="center"/>
              <w:rPr>
                <w:rFonts w:ascii="Times New Roman" w:hAnsi="Times New Roman"/>
                <w:color w:val="000000" w:themeColor="text1"/>
                <w:sz w:val="24"/>
                <w:szCs w:val="20"/>
                <w:highlight w:val="none"/>
                <w14:textFill>
                  <w14:solidFill>
                    <w14:schemeClr w14:val="tx1"/>
                  </w14:solidFill>
                </w14:textFill>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09035CD">
            <w:pPr>
              <w:jc w:val="center"/>
              <w:rPr>
                <w:rFonts w:ascii="Times New Roman" w:hAnsi="Times New Roman"/>
                <w:color w:val="000000" w:themeColor="text1"/>
                <w:sz w:val="24"/>
                <w:szCs w:val="20"/>
                <w:highlight w:val="none"/>
                <w14:textFill>
                  <w14:solidFill>
                    <w14:schemeClr w14:val="tx1"/>
                  </w14:solidFill>
                </w14:textFill>
              </w:rPr>
            </w:pPr>
          </w:p>
        </w:tc>
        <w:tc>
          <w:tcPr>
            <w:tcW w:w="1276" w:type="dxa"/>
            <w:tcBorders>
              <w:top w:val="single" w:color="auto" w:sz="4" w:space="0"/>
              <w:left w:val="single" w:color="auto" w:sz="4" w:space="0"/>
              <w:bottom w:val="single" w:color="auto" w:sz="4" w:space="0"/>
              <w:right w:val="single" w:color="auto" w:sz="4" w:space="0"/>
            </w:tcBorders>
            <w:noWrap w:val="0"/>
            <w:vAlign w:val="center"/>
          </w:tcPr>
          <w:p w14:paraId="45B6D89C">
            <w:pPr>
              <w:jc w:val="center"/>
              <w:rPr>
                <w:rFonts w:ascii="Times New Roman" w:hAnsi="Times New Roman"/>
                <w:color w:val="000000" w:themeColor="text1"/>
                <w:sz w:val="24"/>
                <w:szCs w:val="20"/>
                <w:highlight w:val="none"/>
                <w14:textFill>
                  <w14:solidFill>
                    <w14:schemeClr w14:val="tx1"/>
                  </w14:solidFill>
                </w14:textFill>
              </w:rPr>
            </w:pPr>
          </w:p>
        </w:tc>
        <w:tc>
          <w:tcPr>
            <w:tcW w:w="1275" w:type="dxa"/>
            <w:tcBorders>
              <w:top w:val="single" w:color="auto" w:sz="4" w:space="0"/>
              <w:left w:val="single" w:color="auto" w:sz="4" w:space="0"/>
              <w:bottom w:val="single" w:color="auto" w:sz="4" w:space="0"/>
              <w:right w:val="single" w:color="auto" w:sz="4" w:space="0"/>
            </w:tcBorders>
            <w:noWrap w:val="0"/>
          </w:tcPr>
          <w:p w14:paraId="613CF632">
            <w:pPr>
              <w:jc w:val="center"/>
              <w:rPr>
                <w:rFonts w:ascii="Times New Roman" w:hAnsi="Times New Roman"/>
                <w:color w:val="000000" w:themeColor="text1"/>
                <w:sz w:val="24"/>
                <w:szCs w:val="20"/>
                <w:highlight w:val="none"/>
                <w14:textFill>
                  <w14:solidFill>
                    <w14:schemeClr w14:val="tx1"/>
                  </w14:solidFill>
                </w14:textFill>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185B2A65">
            <w:pPr>
              <w:jc w:val="center"/>
              <w:rPr>
                <w:rFonts w:ascii="Times New Roman" w:hAnsi="Times New Roman"/>
                <w:color w:val="000000" w:themeColor="text1"/>
                <w:sz w:val="24"/>
                <w:szCs w:val="20"/>
                <w:highlight w:val="none"/>
                <w14:textFill>
                  <w14:solidFill>
                    <w14:schemeClr w14:val="tx1"/>
                  </w14:solidFill>
                </w14:textFill>
              </w:rPr>
            </w:pPr>
          </w:p>
        </w:tc>
      </w:tr>
      <w:tr w14:paraId="294CDCE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119" w:type="dxa"/>
            <w:gridSpan w:val="3"/>
            <w:tcBorders>
              <w:top w:val="single" w:color="auto" w:sz="4" w:space="0"/>
              <w:left w:val="single" w:color="auto" w:sz="4" w:space="0"/>
              <w:bottom w:val="single" w:color="auto" w:sz="4" w:space="0"/>
              <w:right w:val="single" w:color="auto" w:sz="4" w:space="0"/>
            </w:tcBorders>
            <w:noWrap w:val="0"/>
            <w:vAlign w:val="center"/>
          </w:tcPr>
          <w:p w14:paraId="57B73150">
            <w:pPr>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s="宋体"/>
                <w:color w:val="000000" w:themeColor="text1"/>
                <w:sz w:val="24"/>
                <w:szCs w:val="20"/>
                <w:highlight w:val="none"/>
                <w:lang w:bidi="ar"/>
                <w14:textFill>
                  <w14:solidFill>
                    <w14:schemeClr w14:val="tx1"/>
                  </w14:solidFill>
                </w14:textFill>
              </w:rPr>
              <w:t>合计总价（元）</w:t>
            </w:r>
          </w:p>
        </w:tc>
        <w:tc>
          <w:tcPr>
            <w:tcW w:w="6946" w:type="dxa"/>
            <w:gridSpan w:val="6"/>
            <w:tcBorders>
              <w:top w:val="single" w:color="auto" w:sz="4" w:space="0"/>
              <w:left w:val="single" w:color="auto" w:sz="4" w:space="0"/>
              <w:bottom w:val="single" w:color="auto" w:sz="4" w:space="0"/>
              <w:right w:val="single" w:color="auto" w:sz="4" w:space="0"/>
            </w:tcBorders>
            <w:noWrap w:val="0"/>
          </w:tcPr>
          <w:p w14:paraId="6D12964F">
            <w:pPr>
              <w:spacing w:line="560" w:lineRule="exact"/>
              <w:rPr>
                <w:rFonts w:ascii="Times New Roman" w:hAnsi="Times New Roman"/>
                <w:color w:val="000000" w:themeColor="text1"/>
                <w:sz w:val="24"/>
                <w:szCs w:val="20"/>
                <w:highlight w:val="none"/>
                <w14:textFill>
                  <w14:solidFill>
                    <w14:schemeClr w14:val="tx1"/>
                  </w14:solidFill>
                </w14:textFill>
              </w:rPr>
            </w:pPr>
          </w:p>
        </w:tc>
      </w:tr>
    </w:tbl>
    <w:p w14:paraId="12DEC685">
      <w:pPr>
        <w:tabs>
          <w:tab w:val="left" w:pos="0"/>
        </w:tabs>
        <w:spacing w:line="460" w:lineRule="exact"/>
        <w:rPr>
          <w:rFonts w:ascii="Times New Roman" w:hAnsi="Times New Roman"/>
          <w:bCs/>
          <w:color w:val="000000" w:themeColor="text1"/>
          <w:sz w:val="24"/>
          <w:szCs w:val="24"/>
          <w:highlight w:val="none"/>
          <w14:textFill>
            <w14:solidFill>
              <w14:schemeClr w14:val="tx1"/>
            </w14:solidFill>
          </w14:textFill>
        </w:rPr>
      </w:pPr>
      <w:r>
        <w:rPr>
          <w:rFonts w:hint="eastAsia" w:ascii="Times New Roman" w:hAnsi="Times New Roman" w:cs="宋体"/>
          <w:bCs/>
          <w:color w:val="000000" w:themeColor="text1"/>
          <w:sz w:val="24"/>
          <w:szCs w:val="24"/>
          <w:highlight w:val="none"/>
          <w:lang w:bidi="ar"/>
          <w14:textFill>
            <w14:solidFill>
              <w14:schemeClr w14:val="tx1"/>
            </w14:solidFill>
          </w14:textFill>
        </w:rPr>
        <w:t>注：</w:t>
      </w:r>
      <w:r>
        <w:rPr>
          <w:rFonts w:ascii="Times New Roman" w:hAnsi="Times New Roman"/>
          <w:bCs/>
          <w:color w:val="000000" w:themeColor="text1"/>
          <w:sz w:val="24"/>
          <w:szCs w:val="24"/>
          <w:highlight w:val="none"/>
          <w:lang w:bidi="ar"/>
          <w14:textFill>
            <w14:solidFill>
              <w14:schemeClr w14:val="tx1"/>
            </w14:solidFill>
          </w14:textFill>
        </w:rPr>
        <w:t>1</w:t>
      </w:r>
      <w:r>
        <w:rPr>
          <w:rFonts w:hint="eastAsia" w:ascii="Times New Roman" w:hAnsi="Times New Roman"/>
          <w:bCs/>
          <w:color w:val="000000" w:themeColor="text1"/>
          <w:sz w:val="24"/>
          <w:szCs w:val="24"/>
          <w:highlight w:val="none"/>
          <w:lang w:bidi="ar"/>
          <w14:textFill>
            <w14:solidFill>
              <w14:schemeClr w14:val="tx1"/>
            </w14:solidFill>
          </w14:textFill>
        </w:rPr>
        <w:t>、</w:t>
      </w:r>
      <w:r>
        <w:rPr>
          <w:rFonts w:hint="eastAsia" w:ascii="Times New Roman" w:hAnsi="Times New Roman" w:cs="宋体"/>
          <w:bCs/>
          <w:color w:val="000000" w:themeColor="text1"/>
          <w:sz w:val="24"/>
          <w:szCs w:val="24"/>
          <w:highlight w:val="none"/>
          <w:lang w:bidi="ar"/>
          <w14:textFill>
            <w14:solidFill>
              <w14:schemeClr w14:val="tx1"/>
            </w14:solidFill>
          </w14:textFill>
        </w:rPr>
        <w:t>投标人应根据本项目的分项价格情况填写上述表格。</w:t>
      </w:r>
    </w:p>
    <w:p w14:paraId="19032DA0">
      <w:pPr>
        <w:tabs>
          <w:tab w:val="left" w:pos="0"/>
        </w:tabs>
        <w:spacing w:line="460" w:lineRule="exact"/>
        <w:ind w:firstLine="480"/>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lang w:bidi="ar"/>
          <w14:textFill>
            <w14:solidFill>
              <w14:schemeClr w14:val="tx1"/>
            </w14:solidFill>
          </w14:textFill>
        </w:rPr>
        <w:t>2</w:t>
      </w:r>
      <w:r>
        <w:rPr>
          <w:rFonts w:hint="eastAsia" w:ascii="Times New Roman" w:hAnsi="Times New Roman"/>
          <w:bCs/>
          <w:color w:val="000000" w:themeColor="text1"/>
          <w:sz w:val="24"/>
          <w:szCs w:val="24"/>
          <w:highlight w:val="none"/>
          <w:lang w:bidi="ar"/>
          <w14:textFill>
            <w14:solidFill>
              <w14:schemeClr w14:val="tx1"/>
            </w14:solidFill>
          </w14:textFill>
        </w:rPr>
        <w:t>、</w:t>
      </w:r>
      <w:r>
        <w:rPr>
          <w:rFonts w:hint="eastAsia" w:ascii="Times New Roman" w:hAnsi="Times New Roman" w:cs="宋体"/>
          <w:bCs/>
          <w:color w:val="000000" w:themeColor="text1"/>
          <w:sz w:val="24"/>
          <w:szCs w:val="24"/>
          <w:highlight w:val="none"/>
          <w:lang w:bidi="ar"/>
          <w14:textFill>
            <w14:solidFill>
              <w14:schemeClr w14:val="tx1"/>
            </w14:solidFill>
          </w14:textFill>
        </w:rPr>
        <w:t>所有价格用人民币表示，保留小数点后两位。</w:t>
      </w:r>
    </w:p>
    <w:p w14:paraId="3EAF73AA">
      <w:pPr>
        <w:tabs>
          <w:tab w:val="left" w:pos="0"/>
        </w:tabs>
        <w:spacing w:line="460" w:lineRule="exact"/>
        <w:ind w:firstLine="480"/>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lang w:bidi="ar"/>
          <w14:textFill>
            <w14:solidFill>
              <w14:schemeClr w14:val="tx1"/>
            </w14:solidFill>
          </w14:textFill>
        </w:rPr>
        <w:t>3</w:t>
      </w:r>
      <w:r>
        <w:rPr>
          <w:rFonts w:hint="eastAsia" w:ascii="Times New Roman" w:hAnsi="Times New Roman"/>
          <w:bCs/>
          <w:color w:val="000000" w:themeColor="text1"/>
          <w:sz w:val="24"/>
          <w:szCs w:val="24"/>
          <w:highlight w:val="none"/>
          <w:lang w:bidi="ar"/>
          <w14:textFill>
            <w14:solidFill>
              <w14:schemeClr w14:val="tx1"/>
            </w14:solidFill>
          </w14:textFill>
        </w:rPr>
        <w:t>、</w:t>
      </w:r>
      <w:r>
        <w:rPr>
          <w:rFonts w:hint="eastAsia" w:ascii="Times New Roman" w:hAnsi="Times New Roman" w:cs="宋体"/>
          <w:bCs/>
          <w:color w:val="000000" w:themeColor="text1"/>
          <w:sz w:val="24"/>
          <w:szCs w:val="24"/>
          <w:highlight w:val="none"/>
          <w:lang w:bidi="ar"/>
          <w14:textFill>
            <w14:solidFill>
              <w14:schemeClr w14:val="tx1"/>
            </w14:solidFill>
          </w14:textFill>
        </w:rPr>
        <w:t>表中“合计总价”应与“开标一览表”表中“投标总价”相一致。</w:t>
      </w:r>
    </w:p>
    <w:p w14:paraId="114E6F33">
      <w:pPr>
        <w:tabs>
          <w:tab w:val="left" w:pos="0"/>
        </w:tabs>
        <w:spacing w:line="460" w:lineRule="exact"/>
        <w:ind w:firstLine="480"/>
        <w:rPr>
          <w:rFonts w:ascii="Times New Roman" w:hAnsi="Times New Roman"/>
          <w:bCs/>
          <w:color w:val="000000" w:themeColor="text1"/>
          <w:sz w:val="24"/>
          <w:szCs w:val="24"/>
          <w:highlight w:val="none"/>
          <w14:textFill>
            <w14:solidFill>
              <w14:schemeClr w14:val="tx1"/>
            </w14:solidFill>
          </w14:textFill>
        </w:rPr>
      </w:pPr>
      <w:r>
        <w:rPr>
          <w:rFonts w:ascii="Times New Roman" w:hAnsi="Times New Roman"/>
          <w:bCs/>
          <w:color w:val="000000" w:themeColor="text1"/>
          <w:sz w:val="24"/>
          <w:szCs w:val="24"/>
          <w:highlight w:val="none"/>
          <w:lang w:bidi="ar"/>
          <w14:textFill>
            <w14:solidFill>
              <w14:schemeClr w14:val="tx1"/>
            </w14:solidFill>
          </w14:textFill>
        </w:rPr>
        <w:t>4</w:t>
      </w:r>
      <w:r>
        <w:rPr>
          <w:rFonts w:hint="eastAsia" w:ascii="Times New Roman" w:hAnsi="Times New Roman"/>
          <w:bCs/>
          <w:color w:val="000000" w:themeColor="text1"/>
          <w:sz w:val="24"/>
          <w:szCs w:val="24"/>
          <w:highlight w:val="none"/>
          <w:lang w:bidi="ar"/>
          <w14:textFill>
            <w14:solidFill>
              <w14:schemeClr w14:val="tx1"/>
            </w14:solidFill>
          </w14:textFill>
        </w:rPr>
        <w:t>、</w:t>
      </w:r>
      <w:r>
        <w:rPr>
          <w:rFonts w:hint="eastAsia" w:ascii="Times New Roman" w:hAnsi="Times New Roman" w:cs="宋体"/>
          <w:bCs/>
          <w:color w:val="000000" w:themeColor="text1"/>
          <w:sz w:val="24"/>
          <w:szCs w:val="24"/>
          <w:highlight w:val="none"/>
          <w:lang w:bidi="ar"/>
          <w14:textFill>
            <w14:solidFill>
              <w14:schemeClr w14:val="tx1"/>
            </w14:solidFill>
          </w14:textFill>
        </w:rPr>
        <w:t>如有需要说明的事项，请在备注中列明。</w:t>
      </w:r>
    </w:p>
    <w:p w14:paraId="1723CE2F">
      <w:pPr>
        <w:ind w:firstLine="482"/>
        <w:rPr>
          <w:rFonts w:ascii="宋体" w:hAnsi="宋体"/>
          <w:b/>
          <w:color w:val="000000" w:themeColor="text1"/>
          <w:sz w:val="24"/>
          <w:szCs w:val="24"/>
          <w:highlight w:val="none"/>
          <w14:textFill>
            <w14:solidFill>
              <w14:schemeClr w14:val="tx1"/>
            </w14:solidFill>
          </w14:textFill>
        </w:rPr>
      </w:pPr>
    </w:p>
    <w:p w14:paraId="4E063F73">
      <w:pPr>
        <w:ind w:firstLine="482"/>
        <w:rPr>
          <w:rFonts w:ascii="宋体" w:hAnsi="宋体"/>
          <w:b/>
          <w:color w:val="000000" w:themeColor="text1"/>
          <w:sz w:val="24"/>
          <w:szCs w:val="24"/>
          <w:highlight w:val="none"/>
          <w14:textFill>
            <w14:solidFill>
              <w14:schemeClr w14:val="tx1"/>
            </w14:solidFill>
          </w14:textFill>
        </w:rPr>
      </w:pPr>
    </w:p>
    <w:p w14:paraId="31DD89CD">
      <w:pPr>
        <w:ind w:firstLine="482"/>
        <w:rPr>
          <w:rFonts w:ascii="宋体" w:hAnsi="宋体"/>
          <w:b/>
          <w:color w:val="000000" w:themeColor="text1"/>
          <w:sz w:val="24"/>
          <w:szCs w:val="24"/>
          <w:highlight w:val="none"/>
          <w14:textFill>
            <w14:solidFill>
              <w14:schemeClr w14:val="tx1"/>
            </w14:solidFill>
          </w14:textFill>
        </w:rPr>
      </w:pPr>
    </w:p>
    <w:p w14:paraId="06CCD2CB">
      <w:pPr>
        <w:ind w:firstLine="482"/>
        <w:rPr>
          <w:rFonts w:ascii="宋体" w:hAnsi="宋体"/>
          <w:b/>
          <w:color w:val="000000" w:themeColor="text1"/>
          <w:sz w:val="24"/>
          <w:szCs w:val="24"/>
          <w:highlight w:val="none"/>
          <w14:textFill>
            <w14:solidFill>
              <w14:schemeClr w14:val="tx1"/>
            </w14:solidFill>
          </w14:textFill>
        </w:rPr>
      </w:pPr>
    </w:p>
    <w:p w14:paraId="07D14C36">
      <w:pPr>
        <w:ind w:firstLine="482"/>
        <w:rPr>
          <w:rFonts w:ascii="宋体" w:hAnsi="宋体"/>
          <w:b/>
          <w:color w:val="000000" w:themeColor="text1"/>
          <w:sz w:val="24"/>
          <w:szCs w:val="24"/>
          <w:highlight w:val="none"/>
          <w14:textFill>
            <w14:solidFill>
              <w14:schemeClr w14:val="tx1"/>
            </w14:solidFill>
          </w14:textFill>
        </w:rPr>
      </w:pPr>
    </w:p>
    <w:p w14:paraId="4A36B6F2">
      <w:pPr>
        <w:ind w:firstLine="482"/>
        <w:rPr>
          <w:rFonts w:ascii="宋体" w:hAnsi="宋体"/>
          <w:b/>
          <w:color w:val="000000" w:themeColor="text1"/>
          <w:sz w:val="24"/>
          <w:szCs w:val="24"/>
          <w:highlight w:val="none"/>
          <w14:textFill>
            <w14:solidFill>
              <w14:schemeClr w14:val="tx1"/>
            </w14:solidFill>
          </w14:textFill>
        </w:rPr>
      </w:pPr>
    </w:p>
    <w:p w14:paraId="27793771">
      <w:pPr>
        <w:ind w:firstLine="482"/>
        <w:rPr>
          <w:rFonts w:ascii="宋体" w:hAnsi="宋体"/>
          <w:b/>
          <w:color w:val="000000" w:themeColor="text1"/>
          <w:sz w:val="24"/>
          <w:szCs w:val="24"/>
          <w:highlight w:val="none"/>
          <w14:textFill>
            <w14:solidFill>
              <w14:schemeClr w14:val="tx1"/>
            </w14:solidFill>
          </w14:textFill>
        </w:rPr>
      </w:pPr>
    </w:p>
    <w:p w14:paraId="201D104A">
      <w:pPr>
        <w:ind w:firstLine="482"/>
        <w:rPr>
          <w:rFonts w:ascii="宋体" w:hAnsi="宋体"/>
          <w:b/>
          <w:color w:val="000000" w:themeColor="text1"/>
          <w:sz w:val="24"/>
          <w:szCs w:val="24"/>
          <w:highlight w:val="none"/>
          <w14:textFill>
            <w14:solidFill>
              <w14:schemeClr w14:val="tx1"/>
            </w14:solidFill>
          </w14:textFill>
        </w:rPr>
      </w:pPr>
    </w:p>
    <w:p w14:paraId="05359190">
      <w:pPr>
        <w:ind w:firstLine="482"/>
        <w:rPr>
          <w:rFonts w:ascii="宋体" w:hAnsi="宋体"/>
          <w:b/>
          <w:color w:val="000000" w:themeColor="text1"/>
          <w:sz w:val="24"/>
          <w:szCs w:val="24"/>
          <w:highlight w:val="none"/>
          <w14:textFill>
            <w14:solidFill>
              <w14:schemeClr w14:val="tx1"/>
            </w14:solidFill>
          </w14:textFill>
        </w:rPr>
      </w:pPr>
    </w:p>
    <w:p w14:paraId="72B96090">
      <w:pPr>
        <w:ind w:firstLine="482"/>
        <w:rPr>
          <w:rFonts w:ascii="宋体" w:hAnsi="宋体"/>
          <w:b/>
          <w:color w:val="000000" w:themeColor="text1"/>
          <w:sz w:val="24"/>
          <w:szCs w:val="24"/>
          <w:highlight w:val="none"/>
          <w14:textFill>
            <w14:solidFill>
              <w14:schemeClr w14:val="tx1"/>
            </w14:solidFill>
          </w14:textFill>
        </w:rPr>
      </w:pPr>
    </w:p>
    <w:p w14:paraId="42B3F529">
      <w:pPr>
        <w:ind w:firstLine="482"/>
        <w:rPr>
          <w:rFonts w:ascii="宋体" w:hAnsi="宋体"/>
          <w:b/>
          <w:color w:val="000000" w:themeColor="text1"/>
          <w:sz w:val="24"/>
          <w:szCs w:val="24"/>
          <w:highlight w:val="none"/>
          <w14:textFill>
            <w14:solidFill>
              <w14:schemeClr w14:val="tx1"/>
            </w14:solidFill>
          </w14:textFill>
        </w:rPr>
      </w:pPr>
    </w:p>
    <w:p w14:paraId="38058310">
      <w:pPr>
        <w:ind w:firstLine="482"/>
        <w:rPr>
          <w:rFonts w:ascii="宋体" w:hAnsi="宋体"/>
          <w:b/>
          <w:color w:val="000000" w:themeColor="text1"/>
          <w:sz w:val="24"/>
          <w:szCs w:val="24"/>
          <w:highlight w:val="none"/>
          <w14:textFill>
            <w14:solidFill>
              <w14:schemeClr w14:val="tx1"/>
            </w14:solidFill>
          </w14:textFill>
        </w:rPr>
      </w:pPr>
    </w:p>
    <w:p w14:paraId="3471A03D">
      <w:pPr>
        <w:ind w:firstLine="482"/>
        <w:rPr>
          <w:rFonts w:ascii="宋体" w:hAnsi="宋体"/>
          <w:b/>
          <w:color w:val="000000" w:themeColor="text1"/>
          <w:sz w:val="24"/>
          <w:szCs w:val="24"/>
          <w:highlight w:val="none"/>
          <w14:textFill>
            <w14:solidFill>
              <w14:schemeClr w14:val="tx1"/>
            </w14:solidFill>
          </w14:textFill>
        </w:rPr>
      </w:pPr>
    </w:p>
    <w:p w14:paraId="3623E4BC">
      <w:pPr>
        <w:ind w:firstLine="482"/>
        <w:rPr>
          <w:rFonts w:ascii="宋体" w:hAnsi="宋体"/>
          <w:b/>
          <w:color w:val="000000" w:themeColor="text1"/>
          <w:sz w:val="24"/>
          <w:szCs w:val="24"/>
          <w:highlight w:val="none"/>
          <w14:textFill>
            <w14:solidFill>
              <w14:schemeClr w14:val="tx1"/>
            </w14:solidFill>
          </w14:textFill>
        </w:rPr>
      </w:pPr>
    </w:p>
    <w:p w14:paraId="312DE7A2">
      <w:pPr>
        <w:ind w:firstLine="482"/>
        <w:rPr>
          <w:rFonts w:ascii="宋体" w:hAnsi="宋体"/>
          <w:b/>
          <w:color w:val="000000" w:themeColor="text1"/>
          <w:sz w:val="24"/>
          <w:szCs w:val="24"/>
          <w:highlight w:val="none"/>
          <w14:textFill>
            <w14:solidFill>
              <w14:schemeClr w14:val="tx1"/>
            </w14:solidFill>
          </w14:textFill>
        </w:rPr>
      </w:pPr>
    </w:p>
    <w:p w14:paraId="5275BDA0">
      <w:pPr>
        <w:ind w:firstLine="482"/>
        <w:rPr>
          <w:rFonts w:ascii="宋体" w:hAnsi="宋体"/>
          <w:b/>
          <w:color w:val="000000" w:themeColor="text1"/>
          <w:sz w:val="24"/>
          <w:szCs w:val="24"/>
          <w:highlight w:val="none"/>
          <w14:textFill>
            <w14:solidFill>
              <w14:schemeClr w14:val="tx1"/>
            </w14:solidFill>
          </w14:textFill>
        </w:rPr>
      </w:pPr>
    </w:p>
    <w:p w14:paraId="2E12EDB4">
      <w:pPr>
        <w:ind w:firstLine="482"/>
        <w:rPr>
          <w:rFonts w:ascii="宋体" w:hAnsi="宋体"/>
          <w:b/>
          <w:color w:val="000000" w:themeColor="text1"/>
          <w:sz w:val="24"/>
          <w:szCs w:val="24"/>
          <w:highlight w:val="none"/>
          <w14:textFill>
            <w14:solidFill>
              <w14:schemeClr w14:val="tx1"/>
            </w14:solidFill>
          </w14:textFill>
        </w:rPr>
      </w:pPr>
    </w:p>
    <w:p w14:paraId="65095E03">
      <w:pPr>
        <w:ind w:firstLine="482"/>
        <w:rPr>
          <w:rFonts w:ascii="宋体" w:hAnsi="宋体"/>
          <w:b/>
          <w:color w:val="000000" w:themeColor="text1"/>
          <w:sz w:val="24"/>
          <w:szCs w:val="24"/>
          <w:highlight w:val="none"/>
          <w14:textFill>
            <w14:solidFill>
              <w14:schemeClr w14:val="tx1"/>
            </w14:solidFill>
          </w14:textFill>
        </w:rPr>
      </w:pPr>
    </w:p>
    <w:p w14:paraId="1E6CF3F4">
      <w:pPr>
        <w:ind w:firstLine="482"/>
        <w:rPr>
          <w:rFonts w:ascii="宋体" w:hAnsi="宋体"/>
          <w:b/>
          <w:color w:val="000000" w:themeColor="text1"/>
          <w:sz w:val="24"/>
          <w:szCs w:val="24"/>
          <w:highlight w:val="none"/>
          <w14:textFill>
            <w14:solidFill>
              <w14:schemeClr w14:val="tx1"/>
            </w14:solidFill>
          </w14:textFill>
        </w:rPr>
      </w:pPr>
    </w:p>
    <w:p w14:paraId="564AB662">
      <w:pPr>
        <w:ind w:firstLine="482"/>
        <w:rPr>
          <w:rFonts w:ascii="宋体" w:hAnsi="宋体"/>
          <w:b/>
          <w:color w:val="000000" w:themeColor="text1"/>
          <w:sz w:val="24"/>
          <w:szCs w:val="24"/>
          <w:highlight w:val="none"/>
          <w14:textFill>
            <w14:solidFill>
              <w14:schemeClr w14:val="tx1"/>
            </w14:solidFill>
          </w14:textFill>
        </w:rPr>
      </w:pPr>
    </w:p>
    <w:p w14:paraId="374B0056">
      <w:pPr>
        <w:ind w:firstLine="482"/>
        <w:rPr>
          <w:rFonts w:ascii="宋体" w:hAnsi="宋体"/>
          <w:b/>
          <w:color w:val="000000" w:themeColor="text1"/>
          <w:sz w:val="24"/>
          <w:szCs w:val="24"/>
          <w:highlight w:val="none"/>
          <w14:textFill>
            <w14:solidFill>
              <w14:schemeClr w14:val="tx1"/>
            </w14:solidFill>
          </w14:textFill>
        </w:rPr>
      </w:pPr>
    </w:p>
    <w:p w14:paraId="7C5B8D11">
      <w:pPr>
        <w:ind w:firstLine="482"/>
        <w:rPr>
          <w:rFonts w:ascii="宋体" w:hAnsi="宋体"/>
          <w:b/>
          <w:color w:val="000000" w:themeColor="text1"/>
          <w:sz w:val="24"/>
          <w:szCs w:val="24"/>
          <w:highlight w:val="none"/>
          <w14:textFill>
            <w14:solidFill>
              <w14:schemeClr w14:val="tx1"/>
            </w14:solidFill>
          </w14:textFill>
        </w:rPr>
      </w:pPr>
    </w:p>
    <w:p w14:paraId="071AD3B9">
      <w:pPr>
        <w:ind w:firstLine="482"/>
        <w:rPr>
          <w:rFonts w:ascii="宋体" w:hAnsi="宋体"/>
          <w:b/>
          <w:color w:val="000000" w:themeColor="text1"/>
          <w:sz w:val="24"/>
          <w:szCs w:val="24"/>
          <w:highlight w:val="none"/>
          <w14:textFill>
            <w14:solidFill>
              <w14:schemeClr w14:val="tx1"/>
            </w14:solidFill>
          </w14:textFill>
        </w:rPr>
      </w:pPr>
    </w:p>
    <w:p w14:paraId="54CDF3E0">
      <w:pPr>
        <w:pStyle w:val="2"/>
        <w:spacing w:line="440" w:lineRule="exact"/>
        <w:jc w:val="center"/>
        <w:rPr>
          <w:rFonts w:ascii="宋体" w:hAnsi="宋体"/>
          <w:color w:val="000000" w:themeColor="text1"/>
          <w:highlight w:val="none"/>
          <w14:textFill>
            <w14:solidFill>
              <w14:schemeClr w14:val="tx1"/>
            </w14:solidFill>
          </w14:textFill>
        </w:rPr>
      </w:pPr>
      <w:bookmarkStart w:id="453" w:name="_Toc19905"/>
      <w:bookmarkStart w:id="454" w:name="_Toc22297"/>
      <w:bookmarkStart w:id="455" w:name="_Toc22481"/>
      <w:bookmarkStart w:id="456" w:name="_Toc7825"/>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附件3 </w:t>
      </w:r>
      <w:r>
        <w:rPr>
          <w:rFonts w:hint="eastAsia" w:ascii="Times New Roman" w:hAnsi="Times New Roman" w:eastAsia="宋体" w:cs="Times New Roman"/>
          <w:b/>
          <w:color w:val="000000" w:themeColor="text1"/>
          <w:sz w:val="28"/>
          <w:szCs w:val="28"/>
          <w:highlight w:val="none"/>
          <w:lang w:bidi="ar"/>
          <w14:textFill>
            <w14:solidFill>
              <w14:schemeClr w14:val="tx1"/>
            </w14:solidFill>
          </w14:textFill>
        </w:rPr>
        <w:t>技术要求响应及偏离表</w:t>
      </w:r>
      <w:bookmarkEnd w:id="453"/>
      <w:bookmarkEnd w:id="454"/>
      <w:bookmarkEnd w:id="455"/>
      <w:bookmarkEnd w:id="456"/>
    </w:p>
    <w:tbl>
      <w:tblPr>
        <w:tblStyle w:val="42"/>
        <w:tblW w:w="103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2103"/>
        <w:gridCol w:w="2320"/>
        <w:gridCol w:w="2500"/>
        <w:gridCol w:w="1299"/>
        <w:gridCol w:w="1305"/>
      </w:tblGrid>
      <w:tr w14:paraId="5528D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48585378">
            <w:pPr>
              <w:spacing w:line="400" w:lineRule="exact"/>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序号</w:t>
            </w:r>
          </w:p>
        </w:tc>
        <w:tc>
          <w:tcPr>
            <w:tcW w:w="2103" w:type="dxa"/>
            <w:tcBorders>
              <w:top w:val="single" w:color="auto" w:sz="4" w:space="0"/>
              <w:left w:val="single" w:color="auto" w:sz="4" w:space="0"/>
              <w:bottom w:val="single" w:color="auto" w:sz="4" w:space="0"/>
              <w:right w:val="single" w:color="auto" w:sz="4" w:space="0"/>
            </w:tcBorders>
            <w:noWrap w:val="0"/>
            <w:vAlign w:val="center"/>
          </w:tcPr>
          <w:p w14:paraId="0A965D81">
            <w:pPr>
              <w:spacing w:line="400" w:lineRule="exact"/>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货物名称</w:t>
            </w:r>
          </w:p>
        </w:tc>
        <w:tc>
          <w:tcPr>
            <w:tcW w:w="2320" w:type="dxa"/>
            <w:tcBorders>
              <w:top w:val="single" w:color="auto" w:sz="4" w:space="0"/>
              <w:left w:val="single" w:color="auto" w:sz="4" w:space="0"/>
              <w:bottom w:val="single" w:color="auto" w:sz="4" w:space="0"/>
              <w:right w:val="single" w:color="auto" w:sz="4" w:space="0"/>
            </w:tcBorders>
            <w:noWrap w:val="0"/>
            <w:vAlign w:val="center"/>
          </w:tcPr>
          <w:p w14:paraId="02E10349">
            <w:pPr>
              <w:spacing w:line="400" w:lineRule="exact"/>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招标技术参数要求</w:t>
            </w:r>
          </w:p>
        </w:tc>
        <w:tc>
          <w:tcPr>
            <w:tcW w:w="2500" w:type="dxa"/>
            <w:tcBorders>
              <w:top w:val="single" w:color="auto" w:sz="4" w:space="0"/>
              <w:left w:val="single" w:color="auto" w:sz="4" w:space="0"/>
              <w:bottom w:val="single" w:color="auto" w:sz="4" w:space="0"/>
              <w:right w:val="single" w:color="auto" w:sz="4" w:space="0"/>
            </w:tcBorders>
            <w:noWrap w:val="0"/>
            <w:vAlign w:val="center"/>
          </w:tcPr>
          <w:p w14:paraId="7B333C18">
            <w:pPr>
              <w:spacing w:line="400" w:lineRule="exact"/>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投标响应的技术参数</w:t>
            </w:r>
          </w:p>
        </w:tc>
        <w:tc>
          <w:tcPr>
            <w:tcW w:w="1299" w:type="dxa"/>
            <w:tcBorders>
              <w:top w:val="single" w:color="auto" w:sz="4" w:space="0"/>
              <w:left w:val="single" w:color="auto" w:sz="4" w:space="0"/>
              <w:bottom w:val="single" w:color="auto" w:sz="4" w:space="0"/>
              <w:right w:val="single" w:color="auto" w:sz="4" w:space="0"/>
            </w:tcBorders>
            <w:noWrap w:val="0"/>
            <w:vAlign w:val="center"/>
          </w:tcPr>
          <w:p w14:paraId="45D083BE">
            <w:pPr>
              <w:spacing w:line="400" w:lineRule="exact"/>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有无偏离</w:t>
            </w:r>
          </w:p>
        </w:tc>
        <w:tc>
          <w:tcPr>
            <w:tcW w:w="1305" w:type="dxa"/>
            <w:tcBorders>
              <w:top w:val="single" w:color="auto" w:sz="4" w:space="0"/>
              <w:left w:val="single" w:color="auto" w:sz="4" w:space="0"/>
              <w:bottom w:val="single" w:color="auto" w:sz="4" w:space="0"/>
              <w:right w:val="single" w:color="auto" w:sz="4" w:space="0"/>
            </w:tcBorders>
            <w:noWrap w:val="0"/>
            <w:vAlign w:val="center"/>
          </w:tcPr>
          <w:p w14:paraId="304CF7EC">
            <w:pPr>
              <w:spacing w:line="400" w:lineRule="exact"/>
              <w:jc w:val="cente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bidi="ar"/>
                <w14:textFill>
                  <w14:solidFill>
                    <w14:schemeClr w14:val="tx1"/>
                  </w14:solidFill>
                </w14:textFill>
              </w:rPr>
              <w:t>偏离内容及原因</w:t>
            </w:r>
          </w:p>
        </w:tc>
      </w:tr>
      <w:tr w14:paraId="4BBC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0E805A6F">
            <w:pPr>
              <w:jc w:val="center"/>
              <w:rPr>
                <w:rFonts w:ascii="宋体" w:hAnsi="宋体" w:cs="宋体"/>
                <w:bCs/>
                <w:color w:val="000000" w:themeColor="text1"/>
                <w:sz w:val="24"/>
                <w:szCs w:val="24"/>
                <w:highlight w:val="none"/>
                <w14:textFill>
                  <w14:solidFill>
                    <w14:schemeClr w14:val="tx1"/>
                  </w14:solidFill>
                </w14:textFill>
              </w:rPr>
            </w:pPr>
          </w:p>
        </w:tc>
        <w:tc>
          <w:tcPr>
            <w:tcW w:w="2103" w:type="dxa"/>
            <w:tcBorders>
              <w:top w:val="single" w:color="auto" w:sz="4" w:space="0"/>
              <w:left w:val="single" w:color="auto" w:sz="4" w:space="0"/>
              <w:bottom w:val="single" w:color="auto" w:sz="4" w:space="0"/>
              <w:right w:val="single" w:color="auto" w:sz="4" w:space="0"/>
            </w:tcBorders>
            <w:noWrap w:val="0"/>
            <w:vAlign w:val="center"/>
          </w:tcPr>
          <w:p w14:paraId="66FB7D12">
            <w:pPr>
              <w:jc w:val="center"/>
              <w:rPr>
                <w:rFonts w:ascii="宋体" w:hAnsi="宋体" w:cs="宋体"/>
                <w:bCs/>
                <w:color w:val="000000" w:themeColor="text1"/>
                <w:sz w:val="24"/>
                <w:szCs w:val="24"/>
                <w:highlight w:val="none"/>
                <w14:textFill>
                  <w14:solidFill>
                    <w14:schemeClr w14:val="tx1"/>
                  </w14:solidFill>
                </w14:textFill>
              </w:rPr>
            </w:pPr>
          </w:p>
        </w:tc>
        <w:tc>
          <w:tcPr>
            <w:tcW w:w="2320" w:type="dxa"/>
            <w:tcBorders>
              <w:top w:val="single" w:color="auto" w:sz="4" w:space="0"/>
              <w:left w:val="single" w:color="auto" w:sz="4" w:space="0"/>
              <w:bottom w:val="single" w:color="auto" w:sz="4" w:space="0"/>
              <w:right w:val="single" w:color="auto" w:sz="4" w:space="0"/>
            </w:tcBorders>
            <w:noWrap w:val="0"/>
            <w:vAlign w:val="center"/>
          </w:tcPr>
          <w:p w14:paraId="46F8D8B5">
            <w:pPr>
              <w:jc w:val="center"/>
              <w:rPr>
                <w:rFonts w:ascii="宋体" w:hAnsi="宋体" w:cs="宋体"/>
                <w:bCs/>
                <w:color w:val="000000" w:themeColor="text1"/>
                <w:sz w:val="24"/>
                <w:szCs w:val="24"/>
                <w:highlight w:val="none"/>
                <w14:textFill>
                  <w14:solidFill>
                    <w14:schemeClr w14:val="tx1"/>
                  </w14:solidFill>
                </w14:textFill>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0E7D7062">
            <w:pPr>
              <w:jc w:val="center"/>
              <w:rPr>
                <w:rFonts w:ascii="宋体" w:hAnsi="宋体" w:cs="宋体"/>
                <w:bCs/>
                <w:color w:val="000000" w:themeColor="text1"/>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14:paraId="1B19BDE4">
            <w:pPr>
              <w:jc w:val="center"/>
              <w:rPr>
                <w:rFonts w:ascii="宋体" w:hAnsi="宋体" w:cs="宋体"/>
                <w:bCs/>
                <w:color w:val="000000" w:themeColor="text1"/>
                <w:sz w:val="24"/>
                <w:szCs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13C61DD0">
            <w:pPr>
              <w:jc w:val="center"/>
              <w:rPr>
                <w:rFonts w:ascii="宋体" w:hAnsi="宋体" w:cs="宋体"/>
                <w:bCs/>
                <w:color w:val="000000" w:themeColor="text1"/>
                <w:sz w:val="24"/>
                <w:szCs w:val="24"/>
                <w:highlight w:val="none"/>
                <w14:textFill>
                  <w14:solidFill>
                    <w14:schemeClr w14:val="tx1"/>
                  </w14:solidFill>
                </w14:textFill>
              </w:rPr>
            </w:pPr>
          </w:p>
        </w:tc>
      </w:tr>
      <w:tr w14:paraId="4A0D3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6AE1C413">
            <w:pPr>
              <w:jc w:val="center"/>
              <w:rPr>
                <w:rFonts w:ascii="宋体" w:hAnsi="宋体" w:cs="宋体"/>
                <w:bCs/>
                <w:color w:val="000000" w:themeColor="text1"/>
                <w:sz w:val="24"/>
                <w:szCs w:val="24"/>
                <w:highlight w:val="none"/>
                <w14:textFill>
                  <w14:solidFill>
                    <w14:schemeClr w14:val="tx1"/>
                  </w14:solidFill>
                </w14:textFill>
              </w:rPr>
            </w:pPr>
          </w:p>
        </w:tc>
        <w:tc>
          <w:tcPr>
            <w:tcW w:w="2103" w:type="dxa"/>
            <w:tcBorders>
              <w:top w:val="single" w:color="auto" w:sz="4" w:space="0"/>
              <w:left w:val="single" w:color="auto" w:sz="4" w:space="0"/>
              <w:bottom w:val="single" w:color="auto" w:sz="4" w:space="0"/>
              <w:right w:val="single" w:color="auto" w:sz="4" w:space="0"/>
            </w:tcBorders>
            <w:noWrap w:val="0"/>
            <w:vAlign w:val="center"/>
          </w:tcPr>
          <w:p w14:paraId="7FC10D81">
            <w:pPr>
              <w:jc w:val="center"/>
              <w:rPr>
                <w:rFonts w:ascii="宋体" w:hAnsi="宋体" w:cs="宋体"/>
                <w:bCs/>
                <w:color w:val="000000" w:themeColor="text1"/>
                <w:sz w:val="24"/>
                <w:szCs w:val="24"/>
                <w:highlight w:val="none"/>
                <w14:textFill>
                  <w14:solidFill>
                    <w14:schemeClr w14:val="tx1"/>
                  </w14:solidFill>
                </w14:textFill>
              </w:rPr>
            </w:pPr>
          </w:p>
        </w:tc>
        <w:tc>
          <w:tcPr>
            <w:tcW w:w="2320" w:type="dxa"/>
            <w:tcBorders>
              <w:top w:val="single" w:color="auto" w:sz="4" w:space="0"/>
              <w:left w:val="single" w:color="auto" w:sz="4" w:space="0"/>
              <w:bottom w:val="single" w:color="auto" w:sz="4" w:space="0"/>
              <w:right w:val="single" w:color="auto" w:sz="4" w:space="0"/>
            </w:tcBorders>
            <w:noWrap w:val="0"/>
            <w:vAlign w:val="center"/>
          </w:tcPr>
          <w:p w14:paraId="44439A6C">
            <w:pPr>
              <w:jc w:val="center"/>
              <w:rPr>
                <w:rFonts w:ascii="宋体" w:hAnsi="宋体" w:cs="宋体"/>
                <w:bCs/>
                <w:color w:val="000000" w:themeColor="text1"/>
                <w:sz w:val="24"/>
                <w:szCs w:val="24"/>
                <w:highlight w:val="none"/>
                <w14:textFill>
                  <w14:solidFill>
                    <w14:schemeClr w14:val="tx1"/>
                  </w14:solidFill>
                </w14:textFill>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22B276D0">
            <w:pPr>
              <w:jc w:val="center"/>
              <w:rPr>
                <w:rFonts w:ascii="宋体" w:hAnsi="宋体" w:cs="宋体"/>
                <w:bCs/>
                <w:color w:val="000000" w:themeColor="text1"/>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14:paraId="741BA98B">
            <w:pPr>
              <w:jc w:val="center"/>
              <w:rPr>
                <w:rFonts w:ascii="宋体" w:hAnsi="宋体" w:cs="宋体"/>
                <w:bCs/>
                <w:color w:val="000000" w:themeColor="text1"/>
                <w:sz w:val="24"/>
                <w:szCs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72E8832D">
            <w:pPr>
              <w:jc w:val="center"/>
              <w:rPr>
                <w:rFonts w:ascii="宋体" w:hAnsi="宋体" w:cs="宋体"/>
                <w:bCs/>
                <w:color w:val="000000" w:themeColor="text1"/>
                <w:sz w:val="24"/>
                <w:szCs w:val="24"/>
                <w:highlight w:val="none"/>
                <w14:textFill>
                  <w14:solidFill>
                    <w14:schemeClr w14:val="tx1"/>
                  </w14:solidFill>
                </w14:textFill>
              </w:rPr>
            </w:pPr>
          </w:p>
        </w:tc>
      </w:tr>
      <w:tr w14:paraId="61972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42E50236">
            <w:pPr>
              <w:jc w:val="center"/>
              <w:rPr>
                <w:rFonts w:ascii="宋体" w:hAnsi="宋体" w:cs="宋体"/>
                <w:bCs/>
                <w:color w:val="000000" w:themeColor="text1"/>
                <w:sz w:val="24"/>
                <w:szCs w:val="24"/>
                <w:highlight w:val="none"/>
                <w14:textFill>
                  <w14:solidFill>
                    <w14:schemeClr w14:val="tx1"/>
                  </w14:solidFill>
                </w14:textFill>
              </w:rPr>
            </w:pPr>
          </w:p>
        </w:tc>
        <w:tc>
          <w:tcPr>
            <w:tcW w:w="2103" w:type="dxa"/>
            <w:tcBorders>
              <w:top w:val="single" w:color="auto" w:sz="4" w:space="0"/>
              <w:left w:val="single" w:color="auto" w:sz="4" w:space="0"/>
              <w:bottom w:val="single" w:color="auto" w:sz="4" w:space="0"/>
              <w:right w:val="single" w:color="auto" w:sz="4" w:space="0"/>
            </w:tcBorders>
            <w:noWrap w:val="0"/>
            <w:vAlign w:val="center"/>
          </w:tcPr>
          <w:p w14:paraId="39809331">
            <w:pPr>
              <w:jc w:val="center"/>
              <w:rPr>
                <w:rFonts w:ascii="宋体" w:hAnsi="宋体" w:cs="宋体"/>
                <w:bCs/>
                <w:color w:val="000000" w:themeColor="text1"/>
                <w:sz w:val="24"/>
                <w:szCs w:val="24"/>
                <w:highlight w:val="none"/>
                <w14:textFill>
                  <w14:solidFill>
                    <w14:schemeClr w14:val="tx1"/>
                  </w14:solidFill>
                </w14:textFill>
              </w:rPr>
            </w:pPr>
          </w:p>
        </w:tc>
        <w:tc>
          <w:tcPr>
            <w:tcW w:w="2320" w:type="dxa"/>
            <w:tcBorders>
              <w:top w:val="single" w:color="auto" w:sz="4" w:space="0"/>
              <w:left w:val="single" w:color="auto" w:sz="4" w:space="0"/>
              <w:bottom w:val="single" w:color="auto" w:sz="4" w:space="0"/>
              <w:right w:val="single" w:color="auto" w:sz="4" w:space="0"/>
            </w:tcBorders>
            <w:noWrap w:val="0"/>
            <w:vAlign w:val="center"/>
          </w:tcPr>
          <w:p w14:paraId="1E1FE66F">
            <w:pPr>
              <w:jc w:val="center"/>
              <w:rPr>
                <w:rFonts w:ascii="宋体" w:hAnsi="宋体" w:cs="宋体"/>
                <w:bCs/>
                <w:color w:val="000000" w:themeColor="text1"/>
                <w:sz w:val="24"/>
                <w:szCs w:val="24"/>
                <w:highlight w:val="none"/>
                <w14:textFill>
                  <w14:solidFill>
                    <w14:schemeClr w14:val="tx1"/>
                  </w14:solidFill>
                </w14:textFill>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557E004F">
            <w:pPr>
              <w:jc w:val="center"/>
              <w:rPr>
                <w:rFonts w:ascii="宋体" w:hAnsi="宋体" w:cs="宋体"/>
                <w:bCs/>
                <w:color w:val="000000" w:themeColor="text1"/>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14:paraId="3588798B">
            <w:pPr>
              <w:jc w:val="center"/>
              <w:rPr>
                <w:rFonts w:ascii="宋体" w:hAnsi="宋体" w:cs="宋体"/>
                <w:bCs/>
                <w:color w:val="000000" w:themeColor="text1"/>
                <w:sz w:val="24"/>
                <w:szCs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5CA8A1CA">
            <w:pPr>
              <w:jc w:val="center"/>
              <w:rPr>
                <w:rFonts w:ascii="宋体" w:hAnsi="宋体" w:cs="宋体"/>
                <w:bCs/>
                <w:color w:val="000000" w:themeColor="text1"/>
                <w:sz w:val="24"/>
                <w:szCs w:val="24"/>
                <w:highlight w:val="none"/>
                <w14:textFill>
                  <w14:solidFill>
                    <w14:schemeClr w14:val="tx1"/>
                  </w14:solidFill>
                </w14:textFill>
              </w:rPr>
            </w:pPr>
          </w:p>
        </w:tc>
      </w:tr>
      <w:tr w14:paraId="6F8A2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1A09F726">
            <w:pPr>
              <w:jc w:val="center"/>
              <w:rPr>
                <w:rFonts w:ascii="宋体" w:hAnsi="宋体" w:cs="宋体"/>
                <w:bCs/>
                <w:color w:val="000000" w:themeColor="text1"/>
                <w:sz w:val="24"/>
                <w:szCs w:val="24"/>
                <w:highlight w:val="none"/>
                <w14:textFill>
                  <w14:solidFill>
                    <w14:schemeClr w14:val="tx1"/>
                  </w14:solidFill>
                </w14:textFill>
              </w:rPr>
            </w:pPr>
          </w:p>
        </w:tc>
        <w:tc>
          <w:tcPr>
            <w:tcW w:w="2103" w:type="dxa"/>
            <w:tcBorders>
              <w:top w:val="single" w:color="auto" w:sz="4" w:space="0"/>
              <w:left w:val="single" w:color="auto" w:sz="4" w:space="0"/>
              <w:bottom w:val="single" w:color="auto" w:sz="4" w:space="0"/>
              <w:right w:val="single" w:color="auto" w:sz="4" w:space="0"/>
            </w:tcBorders>
            <w:noWrap w:val="0"/>
            <w:vAlign w:val="center"/>
          </w:tcPr>
          <w:p w14:paraId="332AE75A">
            <w:pPr>
              <w:jc w:val="center"/>
              <w:rPr>
                <w:rFonts w:ascii="宋体" w:hAnsi="宋体" w:cs="宋体"/>
                <w:bCs/>
                <w:color w:val="000000" w:themeColor="text1"/>
                <w:sz w:val="24"/>
                <w:szCs w:val="24"/>
                <w:highlight w:val="none"/>
                <w14:textFill>
                  <w14:solidFill>
                    <w14:schemeClr w14:val="tx1"/>
                  </w14:solidFill>
                </w14:textFill>
              </w:rPr>
            </w:pPr>
          </w:p>
        </w:tc>
        <w:tc>
          <w:tcPr>
            <w:tcW w:w="2320" w:type="dxa"/>
            <w:tcBorders>
              <w:top w:val="single" w:color="auto" w:sz="4" w:space="0"/>
              <w:left w:val="single" w:color="auto" w:sz="4" w:space="0"/>
              <w:bottom w:val="single" w:color="auto" w:sz="4" w:space="0"/>
              <w:right w:val="single" w:color="auto" w:sz="4" w:space="0"/>
            </w:tcBorders>
            <w:noWrap w:val="0"/>
            <w:vAlign w:val="center"/>
          </w:tcPr>
          <w:p w14:paraId="7C05924C">
            <w:pPr>
              <w:jc w:val="center"/>
              <w:rPr>
                <w:rFonts w:ascii="宋体" w:hAnsi="宋体" w:cs="宋体"/>
                <w:bCs/>
                <w:color w:val="000000" w:themeColor="text1"/>
                <w:sz w:val="24"/>
                <w:szCs w:val="24"/>
                <w:highlight w:val="none"/>
                <w14:textFill>
                  <w14:solidFill>
                    <w14:schemeClr w14:val="tx1"/>
                  </w14:solidFill>
                </w14:textFill>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0D94CC6B">
            <w:pPr>
              <w:jc w:val="center"/>
              <w:rPr>
                <w:rFonts w:ascii="宋体" w:hAnsi="宋体" w:cs="宋体"/>
                <w:bCs/>
                <w:color w:val="000000" w:themeColor="text1"/>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14:paraId="2D6D5FD9">
            <w:pPr>
              <w:jc w:val="center"/>
              <w:rPr>
                <w:rFonts w:ascii="宋体" w:hAnsi="宋体" w:cs="宋体"/>
                <w:bCs/>
                <w:color w:val="000000" w:themeColor="text1"/>
                <w:sz w:val="24"/>
                <w:szCs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63FDD668">
            <w:pPr>
              <w:jc w:val="center"/>
              <w:rPr>
                <w:rFonts w:ascii="宋体" w:hAnsi="宋体" w:cs="宋体"/>
                <w:bCs/>
                <w:color w:val="000000" w:themeColor="text1"/>
                <w:sz w:val="24"/>
                <w:szCs w:val="24"/>
                <w:highlight w:val="none"/>
                <w14:textFill>
                  <w14:solidFill>
                    <w14:schemeClr w14:val="tx1"/>
                  </w14:solidFill>
                </w14:textFill>
              </w:rPr>
            </w:pPr>
          </w:p>
        </w:tc>
      </w:tr>
      <w:tr w14:paraId="4963B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145AAC57">
            <w:pPr>
              <w:jc w:val="center"/>
              <w:rPr>
                <w:rFonts w:ascii="宋体" w:hAnsi="宋体" w:cs="宋体"/>
                <w:bCs/>
                <w:color w:val="000000" w:themeColor="text1"/>
                <w:sz w:val="24"/>
                <w:szCs w:val="24"/>
                <w:highlight w:val="none"/>
                <w14:textFill>
                  <w14:solidFill>
                    <w14:schemeClr w14:val="tx1"/>
                  </w14:solidFill>
                </w14:textFill>
              </w:rPr>
            </w:pPr>
          </w:p>
        </w:tc>
        <w:tc>
          <w:tcPr>
            <w:tcW w:w="2103" w:type="dxa"/>
            <w:tcBorders>
              <w:top w:val="single" w:color="auto" w:sz="4" w:space="0"/>
              <w:left w:val="single" w:color="auto" w:sz="4" w:space="0"/>
              <w:bottom w:val="single" w:color="auto" w:sz="4" w:space="0"/>
              <w:right w:val="single" w:color="auto" w:sz="4" w:space="0"/>
            </w:tcBorders>
            <w:noWrap w:val="0"/>
            <w:vAlign w:val="center"/>
          </w:tcPr>
          <w:p w14:paraId="2A04094F">
            <w:pPr>
              <w:jc w:val="center"/>
              <w:rPr>
                <w:rFonts w:ascii="宋体" w:hAnsi="宋体" w:cs="宋体"/>
                <w:bCs/>
                <w:color w:val="000000" w:themeColor="text1"/>
                <w:sz w:val="24"/>
                <w:szCs w:val="24"/>
                <w:highlight w:val="none"/>
                <w14:textFill>
                  <w14:solidFill>
                    <w14:schemeClr w14:val="tx1"/>
                  </w14:solidFill>
                </w14:textFill>
              </w:rPr>
            </w:pPr>
          </w:p>
        </w:tc>
        <w:tc>
          <w:tcPr>
            <w:tcW w:w="2320" w:type="dxa"/>
            <w:tcBorders>
              <w:top w:val="single" w:color="auto" w:sz="4" w:space="0"/>
              <w:left w:val="single" w:color="auto" w:sz="4" w:space="0"/>
              <w:bottom w:val="single" w:color="auto" w:sz="4" w:space="0"/>
              <w:right w:val="single" w:color="auto" w:sz="4" w:space="0"/>
            </w:tcBorders>
            <w:noWrap w:val="0"/>
            <w:vAlign w:val="center"/>
          </w:tcPr>
          <w:p w14:paraId="253228EA">
            <w:pPr>
              <w:jc w:val="center"/>
              <w:rPr>
                <w:rFonts w:ascii="宋体" w:hAnsi="宋体" w:cs="宋体"/>
                <w:bCs/>
                <w:color w:val="000000" w:themeColor="text1"/>
                <w:sz w:val="24"/>
                <w:szCs w:val="24"/>
                <w:highlight w:val="none"/>
                <w14:textFill>
                  <w14:solidFill>
                    <w14:schemeClr w14:val="tx1"/>
                  </w14:solidFill>
                </w14:textFill>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36A8439C">
            <w:pPr>
              <w:jc w:val="center"/>
              <w:rPr>
                <w:rFonts w:ascii="宋体" w:hAnsi="宋体" w:cs="宋体"/>
                <w:bCs/>
                <w:color w:val="000000" w:themeColor="text1"/>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14:paraId="09C90841">
            <w:pPr>
              <w:jc w:val="center"/>
              <w:rPr>
                <w:rFonts w:ascii="宋体" w:hAnsi="宋体" w:cs="宋体"/>
                <w:bCs/>
                <w:color w:val="000000" w:themeColor="text1"/>
                <w:sz w:val="24"/>
                <w:szCs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60F786DF">
            <w:pPr>
              <w:jc w:val="center"/>
              <w:rPr>
                <w:rFonts w:ascii="宋体" w:hAnsi="宋体" w:cs="宋体"/>
                <w:bCs/>
                <w:color w:val="000000" w:themeColor="text1"/>
                <w:sz w:val="24"/>
                <w:szCs w:val="24"/>
                <w:highlight w:val="none"/>
                <w14:textFill>
                  <w14:solidFill>
                    <w14:schemeClr w14:val="tx1"/>
                  </w14:solidFill>
                </w14:textFill>
              </w:rPr>
            </w:pPr>
          </w:p>
        </w:tc>
      </w:tr>
      <w:tr w14:paraId="2F138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288F0ACE">
            <w:pPr>
              <w:jc w:val="center"/>
              <w:rPr>
                <w:rFonts w:ascii="宋体" w:hAnsi="宋体" w:cs="宋体"/>
                <w:bCs/>
                <w:color w:val="000000" w:themeColor="text1"/>
                <w:sz w:val="24"/>
                <w:szCs w:val="24"/>
                <w:highlight w:val="none"/>
                <w14:textFill>
                  <w14:solidFill>
                    <w14:schemeClr w14:val="tx1"/>
                  </w14:solidFill>
                </w14:textFill>
              </w:rPr>
            </w:pPr>
          </w:p>
        </w:tc>
        <w:tc>
          <w:tcPr>
            <w:tcW w:w="2103" w:type="dxa"/>
            <w:tcBorders>
              <w:top w:val="single" w:color="auto" w:sz="4" w:space="0"/>
              <w:left w:val="single" w:color="auto" w:sz="4" w:space="0"/>
              <w:bottom w:val="single" w:color="auto" w:sz="4" w:space="0"/>
              <w:right w:val="single" w:color="auto" w:sz="4" w:space="0"/>
            </w:tcBorders>
            <w:noWrap w:val="0"/>
            <w:vAlign w:val="center"/>
          </w:tcPr>
          <w:p w14:paraId="7EEF9B45">
            <w:pPr>
              <w:jc w:val="center"/>
              <w:rPr>
                <w:rFonts w:ascii="宋体" w:hAnsi="宋体" w:cs="宋体"/>
                <w:bCs/>
                <w:color w:val="000000" w:themeColor="text1"/>
                <w:sz w:val="24"/>
                <w:szCs w:val="24"/>
                <w:highlight w:val="none"/>
                <w14:textFill>
                  <w14:solidFill>
                    <w14:schemeClr w14:val="tx1"/>
                  </w14:solidFill>
                </w14:textFill>
              </w:rPr>
            </w:pPr>
          </w:p>
        </w:tc>
        <w:tc>
          <w:tcPr>
            <w:tcW w:w="2320" w:type="dxa"/>
            <w:tcBorders>
              <w:top w:val="single" w:color="auto" w:sz="4" w:space="0"/>
              <w:left w:val="single" w:color="auto" w:sz="4" w:space="0"/>
              <w:bottom w:val="single" w:color="auto" w:sz="4" w:space="0"/>
              <w:right w:val="single" w:color="auto" w:sz="4" w:space="0"/>
            </w:tcBorders>
            <w:noWrap w:val="0"/>
            <w:vAlign w:val="center"/>
          </w:tcPr>
          <w:p w14:paraId="2ABA5D4A">
            <w:pPr>
              <w:jc w:val="center"/>
              <w:rPr>
                <w:rFonts w:ascii="宋体" w:hAnsi="宋体" w:cs="宋体"/>
                <w:bCs/>
                <w:color w:val="000000" w:themeColor="text1"/>
                <w:sz w:val="24"/>
                <w:szCs w:val="24"/>
                <w:highlight w:val="none"/>
                <w14:textFill>
                  <w14:solidFill>
                    <w14:schemeClr w14:val="tx1"/>
                  </w14:solidFill>
                </w14:textFill>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2F707075">
            <w:pPr>
              <w:jc w:val="center"/>
              <w:rPr>
                <w:rFonts w:ascii="宋体" w:hAnsi="宋体" w:cs="宋体"/>
                <w:bCs/>
                <w:color w:val="000000" w:themeColor="text1"/>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14:paraId="177984B1">
            <w:pPr>
              <w:jc w:val="center"/>
              <w:rPr>
                <w:rFonts w:ascii="宋体" w:hAnsi="宋体" w:cs="宋体"/>
                <w:bCs/>
                <w:color w:val="000000" w:themeColor="text1"/>
                <w:sz w:val="24"/>
                <w:szCs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7CD19D64">
            <w:pPr>
              <w:jc w:val="center"/>
              <w:rPr>
                <w:rFonts w:ascii="宋体" w:hAnsi="宋体" w:cs="宋体"/>
                <w:bCs/>
                <w:color w:val="000000" w:themeColor="text1"/>
                <w:sz w:val="24"/>
                <w:szCs w:val="24"/>
                <w:highlight w:val="none"/>
                <w14:textFill>
                  <w14:solidFill>
                    <w14:schemeClr w14:val="tx1"/>
                  </w14:solidFill>
                </w14:textFill>
              </w:rPr>
            </w:pPr>
          </w:p>
        </w:tc>
      </w:tr>
      <w:tr w14:paraId="6086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161BE6FF">
            <w:pPr>
              <w:jc w:val="center"/>
              <w:rPr>
                <w:rFonts w:ascii="宋体" w:hAnsi="宋体" w:cs="宋体"/>
                <w:bCs/>
                <w:color w:val="000000" w:themeColor="text1"/>
                <w:sz w:val="24"/>
                <w:szCs w:val="24"/>
                <w:highlight w:val="none"/>
                <w14:textFill>
                  <w14:solidFill>
                    <w14:schemeClr w14:val="tx1"/>
                  </w14:solidFill>
                </w14:textFill>
              </w:rPr>
            </w:pPr>
          </w:p>
        </w:tc>
        <w:tc>
          <w:tcPr>
            <w:tcW w:w="2103" w:type="dxa"/>
            <w:tcBorders>
              <w:top w:val="single" w:color="auto" w:sz="4" w:space="0"/>
              <w:left w:val="single" w:color="auto" w:sz="4" w:space="0"/>
              <w:bottom w:val="single" w:color="auto" w:sz="4" w:space="0"/>
              <w:right w:val="single" w:color="auto" w:sz="4" w:space="0"/>
            </w:tcBorders>
            <w:noWrap w:val="0"/>
            <w:vAlign w:val="center"/>
          </w:tcPr>
          <w:p w14:paraId="3422132E">
            <w:pPr>
              <w:jc w:val="center"/>
              <w:rPr>
                <w:rFonts w:ascii="宋体" w:hAnsi="宋体" w:cs="宋体"/>
                <w:bCs/>
                <w:color w:val="000000" w:themeColor="text1"/>
                <w:sz w:val="24"/>
                <w:szCs w:val="24"/>
                <w:highlight w:val="none"/>
                <w14:textFill>
                  <w14:solidFill>
                    <w14:schemeClr w14:val="tx1"/>
                  </w14:solidFill>
                </w14:textFill>
              </w:rPr>
            </w:pPr>
          </w:p>
        </w:tc>
        <w:tc>
          <w:tcPr>
            <w:tcW w:w="2320" w:type="dxa"/>
            <w:tcBorders>
              <w:top w:val="single" w:color="auto" w:sz="4" w:space="0"/>
              <w:left w:val="single" w:color="auto" w:sz="4" w:space="0"/>
              <w:bottom w:val="single" w:color="auto" w:sz="4" w:space="0"/>
              <w:right w:val="single" w:color="auto" w:sz="4" w:space="0"/>
            </w:tcBorders>
            <w:noWrap w:val="0"/>
            <w:vAlign w:val="center"/>
          </w:tcPr>
          <w:p w14:paraId="0B2A1E61">
            <w:pPr>
              <w:jc w:val="center"/>
              <w:rPr>
                <w:rFonts w:ascii="宋体" w:hAnsi="宋体" w:cs="宋体"/>
                <w:bCs/>
                <w:color w:val="000000" w:themeColor="text1"/>
                <w:sz w:val="24"/>
                <w:szCs w:val="24"/>
                <w:highlight w:val="none"/>
                <w14:textFill>
                  <w14:solidFill>
                    <w14:schemeClr w14:val="tx1"/>
                  </w14:solidFill>
                </w14:textFill>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0DCFF35F">
            <w:pPr>
              <w:jc w:val="center"/>
              <w:rPr>
                <w:rFonts w:ascii="宋体" w:hAnsi="宋体" w:cs="宋体"/>
                <w:bCs/>
                <w:color w:val="000000" w:themeColor="text1"/>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14:paraId="00122608">
            <w:pPr>
              <w:jc w:val="center"/>
              <w:rPr>
                <w:rFonts w:ascii="宋体" w:hAnsi="宋体" w:cs="宋体"/>
                <w:bCs/>
                <w:color w:val="000000" w:themeColor="text1"/>
                <w:sz w:val="24"/>
                <w:szCs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3ECE76CE">
            <w:pPr>
              <w:jc w:val="center"/>
              <w:rPr>
                <w:rFonts w:ascii="宋体" w:hAnsi="宋体" w:cs="宋体"/>
                <w:bCs/>
                <w:color w:val="000000" w:themeColor="text1"/>
                <w:sz w:val="24"/>
                <w:szCs w:val="24"/>
                <w:highlight w:val="none"/>
                <w14:textFill>
                  <w14:solidFill>
                    <w14:schemeClr w14:val="tx1"/>
                  </w14:solidFill>
                </w14:textFill>
              </w:rPr>
            </w:pPr>
          </w:p>
        </w:tc>
      </w:tr>
      <w:tr w14:paraId="19470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863" w:type="dxa"/>
            <w:tcBorders>
              <w:top w:val="single" w:color="auto" w:sz="4" w:space="0"/>
              <w:left w:val="single" w:color="auto" w:sz="4" w:space="0"/>
              <w:bottom w:val="single" w:color="auto" w:sz="4" w:space="0"/>
              <w:right w:val="single" w:color="auto" w:sz="4" w:space="0"/>
            </w:tcBorders>
            <w:noWrap w:val="0"/>
            <w:vAlign w:val="center"/>
          </w:tcPr>
          <w:p w14:paraId="3AEAC5FD">
            <w:pPr>
              <w:jc w:val="center"/>
              <w:rPr>
                <w:rFonts w:ascii="宋体" w:hAnsi="宋体" w:cs="宋体"/>
                <w:bCs/>
                <w:color w:val="000000" w:themeColor="text1"/>
                <w:sz w:val="24"/>
                <w:szCs w:val="24"/>
                <w:highlight w:val="none"/>
                <w14:textFill>
                  <w14:solidFill>
                    <w14:schemeClr w14:val="tx1"/>
                  </w14:solidFill>
                </w14:textFill>
              </w:rPr>
            </w:pPr>
          </w:p>
        </w:tc>
        <w:tc>
          <w:tcPr>
            <w:tcW w:w="2103" w:type="dxa"/>
            <w:tcBorders>
              <w:top w:val="single" w:color="auto" w:sz="4" w:space="0"/>
              <w:left w:val="single" w:color="auto" w:sz="4" w:space="0"/>
              <w:bottom w:val="single" w:color="auto" w:sz="4" w:space="0"/>
              <w:right w:val="single" w:color="auto" w:sz="4" w:space="0"/>
            </w:tcBorders>
            <w:noWrap w:val="0"/>
            <w:vAlign w:val="center"/>
          </w:tcPr>
          <w:p w14:paraId="1126899C">
            <w:pPr>
              <w:jc w:val="cente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w:t>
            </w:r>
          </w:p>
        </w:tc>
        <w:tc>
          <w:tcPr>
            <w:tcW w:w="2320" w:type="dxa"/>
            <w:tcBorders>
              <w:top w:val="single" w:color="auto" w:sz="4" w:space="0"/>
              <w:left w:val="single" w:color="auto" w:sz="4" w:space="0"/>
              <w:bottom w:val="single" w:color="auto" w:sz="4" w:space="0"/>
              <w:right w:val="single" w:color="auto" w:sz="4" w:space="0"/>
            </w:tcBorders>
            <w:noWrap w:val="0"/>
            <w:vAlign w:val="center"/>
          </w:tcPr>
          <w:p w14:paraId="771395B5">
            <w:pPr>
              <w:jc w:val="center"/>
              <w:rPr>
                <w:rFonts w:ascii="宋体" w:hAnsi="宋体" w:cs="宋体"/>
                <w:bCs/>
                <w:color w:val="000000" w:themeColor="text1"/>
                <w:sz w:val="24"/>
                <w:szCs w:val="24"/>
                <w:highlight w:val="none"/>
                <w14:textFill>
                  <w14:solidFill>
                    <w14:schemeClr w14:val="tx1"/>
                  </w14:solidFill>
                </w14:textFill>
              </w:rPr>
            </w:pPr>
          </w:p>
        </w:tc>
        <w:tc>
          <w:tcPr>
            <w:tcW w:w="2500" w:type="dxa"/>
            <w:tcBorders>
              <w:top w:val="single" w:color="auto" w:sz="4" w:space="0"/>
              <w:left w:val="single" w:color="auto" w:sz="4" w:space="0"/>
              <w:bottom w:val="single" w:color="auto" w:sz="4" w:space="0"/>
              <w:right w:val="single" w:color="auto" w:sz="4" w:space="0"/>
            </w:tcBorders>
            <w:noWrap w:val="0"/>
            <w:vAlign w:val="center"/>
          </w:tcPr>
          <w:p w14:paraId="50C6D245">
            <w:pPr>
              <w:jc w:val="center"/>
              <w:rPr>
                <w:rFonts w:ascii="宋体" w:hAnsi="宋体" w:cs="宋体"/>
                <w:bCs/>
                <w:color w:val="000000" w:themeColor="text1"/>
                <w:sz w:val="24"/>
                <w:szCs w:val="24"/>
                <w:highlight w:val="none"/>
                <w14:textFill>
                  <w14:solidFill>
                    <w14:schemeClr w14:val="tx1"/>
                  </w14:solidFill>
                </w14:textFill>
              </w:rPr>
            </w:pPr>
          </w:p>
        </w:tc>
        <w:tc>
          <w:tcPr>
            <w:tcW w:w="1299" w:type="dxa"/>
            <w:tcBorders>
              <w:top w:val="single" w:color="auto" w:sz="4" w:space="0"/>
              <w:left w:val="single" w:color="auto" w:sz="4" w:space="0"/>
              <w:bottom w:val="single" w:color="auto" w:sz="4" w:space="0"/>
              <w:right w:val="single" w:color="auto" w:sz="4" w:space="0"/>
            </w:tcBorders>
            <w:noWrap w:val="0"/>
            <w:vAlign w:val="center"/>
          </w:tcPr>
          <w:p w14:paraId="5680EC5C">
            <w:pPr>
              <w:jc w:val="center"/>
              <w:rPr>
                <w:rFonts w:ascii="宋体" w:hAnsi="宋体" w:cs="宋体"/>
                <w:bCs/>
                <w:color w:val="000000" w:themeColor="text1"/>
                <w:sz w:val="24"/>
                <w:szCs w:val="24"/>
                <w:highlight w:val="none"/>
                <w14:textFill>
                  <w14:solidFill>
                    <w14:schemeClr w14:val="tx1"/>
                  </w14:solidFill>
                </w14:textFill>
              </w:rPr>
            </w:pPr>
          </w:p>
        </w:tc>
        <w:tc>
          <w:tcPr>
            <w:tcW w:w="1305" w:type="dxa"/>
            <w:tcBorders>
              <w:top w:val="single" w:color="auto" w:sz="4" w:space="0"/>
              <w:left w:val="single" w:color="auto" w:sz="4" w:space="0"/>
              <w:bottom w:val="single" w:color="auto" w:sz="4" w:space="0"/>
              <w:right w:val="single" w:color="auto" w:sz="4" w:space="0"/>
            </w:tcBorders>
            <w:noWrap w:val="0"/>
            <w:vAlign w:val="center"/>
          </w:tcPr>
          <w:p w14:paraId="73F9514F">
            <w:pPr>
              <w:jc w:val="center"/>
              <w:rPr>
                <w:rFonts w:ascii="宋体" w:hAnsi="宋体" w:cs="宋体"/>
                <w:bCs/>
                <w:color w:val="000000" w:themeColor="text1"/>
                <w:sz w:val="24"/>
                <w:szCs w:val="24"/>
                <w:highlight w:val="none"/>
                <w14:textFill>
                  <w14:solidFill>
                    <w14:schemeClr w14:val="tx1"/>
                  </w14:solidFill>
                </w14:textFill>
              </w:rPr>
            </w:pPr>
          </w:p>
        </w:tc>
      </w:tr>
    </w:tbl>
    <w:p w14:paraId="2CD42FE5">
      <w:pPr>
        <w:spacing w:line="44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注：1</w:t>
      </w:r>
      <w:r>
        <w:rPr>
          <w:rFonts w:hint="eastAsia"/>
          <w:color w:val="000000" w:themeColor="text1"/>
          <w:sz w:val="24"/>
          <w:szCs w:val="24"/>
          <w:highlight w:val="none"/>
          <w14:textFill>
            <w14:solidFill>
              <w14:schemeClr w14:val="tx1"/>
            </w14:solidFill>
          </w14:textFill>
        </w:rPr>
        <w:t>、投标人应根据本项目“第四章</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采购需求”中的“三、技术性能参数要求”对照所投设备的配置及技术性能进行逐项评议。</w:t>
      </w:r>
    </w:p>
    <w:p w14:paraId="55BFF39D">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2</w:t>
      </w:r>
      <w:r>
        <w:rPr>
          <w:rFonts w:hint="eastAsia"/>
          <w:color w:val="000000" w:themeColor="text1"/>
          <w:sz w:val="24"/>
          <w:szCs w:val="24"/>
          <w:highlight w:val="none"/>
          <w14:textFill>
            <w14:solidFill>
              <w14:schemeClr w14:val="tx1"/>
            </w14:solidFill>
          </w14:textFill>
        </w:rPr>
        <w:t>、若无偏离，在“有无偏离”栏中填写“无”；若有偏离在“有无偏离”栏中填写“有”并在“偏离内容及原因”栏中作出说明。因未标明或表述含糊导致的评审风险将由投标人承担。</w:t>
      </w:r>
    </w:p>
    <w:p w14:paraId="2C86C8A3">
      <w:pPr>
        <w:spacing w:line="44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3</w:t>
      </w:r>
      <w:r>
        <w:rPr>
          <w:rFonts w:hint="eastAsia"/>
          <w:color w:val="000000" w:themeColor="text1"/>
          <w:sz w:val="24"/>
          <w:szCs w:val="24"/>
          <w:highlight w:val="none"/>
          <w14:textFill>
            <w14:solidFill>
              <w14:schemeClr w14:val="tx1"/>
            </w14:solidFill>
          </w14:textFill>
        </w:rPr>
        <w:t>、表格不够可另接。</w:t>
      </w:r>
    </w:p>
    <w:p w14:paraId="29578CDB">
      <w:pPr>
        <w:spacing w:line="440" w:lineRule="exact"/>
        <w:ind w:firstLine="482"/>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4</w:t>
      </w:r>
      <w:r>
        <w:rPr>
          <w:rFonts w:hint="eastAsia"/>
          <w:b/>
          <w:bCs/>
          <w:color w:val="000000" w:themeColor="text1"/>
          <w:sz w:val="24"/>
          <w:szCs w:val="24"/>
          <w:highlight w:val="none"/>
          <w14:textFill>
            <w14:solidFill>
              <w14:schemeClr w14:val="tx1"/>
            </w14:solidFill>
          </w14:textFill>
        </w:rPr>
        <w:t>、投标文件中需根据招标文件要求提供的相关证明材料同时在证明材料中对相应内容进行标注。</w:t>
      </w:r>
    </w:p>
    <w:p w14:paraId="20E5319D">
      <w:pPr>
        <w:spacing w:line="480" w:lineRule="exact"/>
        <w:ind w:firstLine="480"/>
        <w:rPr>
          <w:color w:val="000000" w:themeColor="text1"/>
          <w:sz w:val="24"/>
          <w:szCs w:val="24"/>
          <w:highlight w:val="none"/>
          <w14:textFill>
            <w14:solidFill>
              <w14:schemeClr w14:val="tx1"/>
            </w14:solidFill>
          </w14:textFill>
        </w:rPr>
      </w:pPr>
    </w:p>
    <w:p w14:paraId="3A162443">
      <w:pPr>
        <w:spacing w:after="120" w:line="440" w:lineRule="exact"/>
        <w:ind w:firstLine="480"/>
        <w:rPr>
          <w:rFonts w:ascii="宋体" w:hAnsi="宋体"/>
          <w:bCs/>
          <w:color w:val="000000" w:themeColor="text1"/>
          <w:sz w:val="24"/>
          <w:szCs w:val="24"/>
          <w:highlight w:val="none"/>
          <w14:textFill>
            <w14:solidFill>
              <w14:schemeClr w14:val="tx1"/>
            </w14:solidFill>
          </w14:textFill>
        </w:rPr>
      </w:pPr>
    </w:p>
    <w:p w14:paraId="7C45736B">
      <w:pPr>
        <w:spacing w:line="440" w:lineRule="exact"/>
        <w:jc w:val="center"/>
        <w:outlineLvl w:val="1"/>
        <w:rPr>
          <w:rFonts w:ascii="Times New Roman" w:hAnsi="Times New Roman"/>
          <w:b/>
          <w:bCs/>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457" w:name="_Toc8238"/>
      <w:bookmarkStart w:id="458" w:name="_Toc5009"/>
      <w:bookmarkStart w:id="459" w:name="_Toc28267"/>
      <w:bookmarkStart w:id="460" w:name="_Toc14074"/>
      <w:bookmarkStart w:id="461" w:name="_Toc146524609"/>
      <w:bookmarkStart w:id="462" w:name="_Toc522610225"/>
      <w:bookmarkStart w:id="463" w:name="_Toc387400419"/>
      <w:bookmarkStart w:id="464" w:name="_Toc43821328"/>
      <w:bookmarkStart w:id="465" w:name="_Toc354834784"/>
      <w:r>
        <w:rPr>
          <w:rFonts w:hint="eastAsia" w:ascii="Times New Roman" w:hAnsi="Times New Roman"/>
          <w:b/>
          <w:bCs/>
          <w:color w:val="000000" w:themeColor="text1"/>
          <w:sz w:val="28"/>
          <w:szCs w:val="28"/>
          <w:highlight w:val="none"/>
          <w14:textFill>
            <w14:solidFill>
              <w14:schemeClr w14:val="tx1"/>
            </w14:solidFill>
          </w14:textFill>
        </w:rPr>
        <w:t>附件4</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项目方案</w:t>
      </w:r>
      <w:bookmarkEnd w:id="457"/>
      <w:bookmarkEnd w:id="458"/>
      <w:bookmarkEnd w:id="459"/>
      <w:bookmarkEnd w:id="460"/>
    </w:p>
    <w:p w14:paraId="6F9E41BC">
      <w:pPr>
        <w:spacing w:line="460" w:lineRule="exact"/>
        <w:ind w:firstLine="48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主要内容应包括但不限于以下方面：</w:t>
      </w:r>
    </w:p>
    <w:p w14:paraId="1894ED6B">
      <w:pPr>
        <w:spacing w:line="460" w:lineRule="exact"/>
        <w:ind w:firstLine="787"/>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1、供货计划及保障措施方案</w:t>
      </w:r>
    </w:p>
    <w:p w14:paraId="0921A094">
      <w:pPr>
        <w:spacing w:line="460" w:lineRule="exact"/>
        <w:ind w:firstLine="787"/>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2、安装调试方案</w:t>
      </w:r>
    </w:p>
    <w:p w14:paraId="446FF4C7">
      <w:pPr>
        <w:spacing w:line="460" w:lineRule="exact"/>
        <w:ind w:firstLine="787"/>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w:t>
      </w:r>
      <w:r>
        <w:rPr>
          <w:rFonts w:hint="eastAsia"/>
          <w:color w:val="000000" w:themeColor="text1"/>
          <w:sz w:val="24"/>
          <w:szCs w:val="24"/>
          <w:highlight w:val="none"/>
          <w:lang w:eastAsia="zh-Hans"/>
          <w14:textFill>
            <w14:solidFill>
              <w14:schemeClr w14:val="tx1"/>
            </w14:solidFill>
          </w14:textFill>
        </w:rPr>
        <w:t>断面水质</w:t>
      </w:r>
      <w:r>
        <w:rPr>
          <w:rFonts w:hint="eastAsia"/>
          <w:color w:val="000000" w:themeColor="text1"/>
          <w:sz w:val="24"/>
          <w:szCs w:val="24"/>
          <w:highlight w:val="none"/>
          <w14:textFill>
            <w14:solidFill>
              <w14:schemeClr w14:val="tx1"/>
            </w14:solidFill>
          </w14:textFill>
        </w:rPr>
        <w:t>分析方案</w:t>
      </w:r>
    </w:p>
    <w:p w14:paraId="1C8FD793">
      <w:pPr>
        <w:spacing w:line="460" w:lineRule="exact"/>
        <w:ind w:firstLine="787"/>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4、防汛决策方案</w:t>
      </w:r>
    </w:p>
    <w:p w14:paraId="128C4202">
      <w:pPr>
        <w:spacing w:line="460" w:lineRule="exact"/>
        <w:ind w:firstLine="787"/>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5、无人机巡查处置方案</w:t>
      </w:r>
    </w:p>
    <w:p w14:paraId="7D9CD26D">
      <w:pPr>
        <w:spacing w:line="460" w:lineRule="exact"/>
        <w:ind w:firstLine="787"/>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6、人员配备（格式自拟）</w:t>
      </w:r>
    </w:p>
    <w:p w14:paraId="2EB8222D">
      <w:pPr>
        <w:spacing w:line="460" w:lineRule="exact"/>
        <w:ind w:firstLine="787"/>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7、其他说明</w:t>
      </w:r>
    </w:p>
    <w:p w14:paraId="515DF5E7">
      <w:pPr>
        <w:spacing w:line="460" w:lineRule="exact"/>
        <w:ind w:firstLine="480"/>
        <w:rPr>
          <w:color w:val="000000" w:themeColor="text1"/>
          <w:sz w:val="24"/>
          <w:szCs w:val="24"/>
          <w:highlight w:val="none"/>
          <w14:textFill>
            <w14:solidFill>
              <w14:schemeClr w14:val="tx1"/>
            </w14:solidFill>
          </w14:textFill>
        </w:rPr>
      </w:pPr>
    </w:p>
    <w:p w14:paraId="39F9D99E">
      <w:pPr>
        <w:widowControl/>
        <w:jc w:val="left"/>
        <w:rPr>
          <w:color w:val="000000" w:themeColor="text1"/>
          <w:highlight w:val="none"/>
          <w14:textFill>
            <w14:solidFill>
              <w14:schemeClr w14:val="tx1"/>
            </w14:solidFill>
          </w14:textFill>
        </w:rPr>
      </w:pPr>
    </w:p>
    <w:p w14:paraId="74B1F638">
      <w:pPr>
        <w:widowControl/>
        <w:jc w:val="left"/>
        <w:rPr>
          <w:color w:val="000000" w:themeColor="text1"/>
          <w:highlight w:val="none"/>
          <w14:textFill>
            <w14:solidFill>
              <w14:schemeClr w14:val="tx1"/>
            </w14:solidFill>
          </w14:textFill>
        </w:rPr>
      </w:pPr>
    </w:p>
    <w:p w14:paraId="5ED24A26">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2A9CDFC">
      <w:pPr>
        <w:pStyle w:val="2"/>
        <w:spacing w:line="440" w:lineRule="exact"/>
        <w:jc w:val="center"/>
        <w:rPr>
          <w:rFonts w:ascii="Times New Roman" w:hAnsi="Times New Roman" w:eastAsia="宋体" w:cs="Times New Roman"/>
          <w:b/>
          <w:bCs/>
          <w:color w:val="000000" w:themeColor="text1"/>
          <w:sz w:val="28"/>
          <w:szCs w:val="28"/>
          <w:highlight w:val="none"/>
          <w14:textFill>
            <w14:solidFill>
              <w14:schemeClr w14:val="tx1"/>
            </w14:solidFill>
          </w14:textFill>
        </w:rPr>
      </w:pPr>
      <w:bookmarkStart w:id="466" w:name="_Toc16507"/>
      <w:bookmarkStart w:id="467" w:name="_Toc15717"/>
      <w:bookmarkStart w:id="468" w:name="_Toc21626"/>
      <w:bookmarkStart w:id="469" w:name="_Toc1712"/>
      <w:r>
        <w:rPr>
          <w:rFonts w:hint="eastAsia" w:ascii="Times New Roman" w:hAnsi="Times New Roman" w:eastAsia="宋体" w:cs="Times New Roman"/>
          <w:b/>
          <w:bCs/>
          <w:color w:val="000000" w:themeColor="text1"/>
          <w:sz w:val="28"/>
          <w:szCs w:val="28"/>
          <w:highlight w:val="none"/>
          <w14:textFill>
            <w14:solidFill>
              <w14:schemeClr w14:val="tx1"/>
            </w14:solidFill>
          </w14:textFill>
        </w:rPr>
        <w:t>附件</w:t>
      </w:r>
      <w:bookmarkEnd w:id="461"/>
      <w:bookmarkEnd w:id="462"/>
      <w:bookmarkEnd w:id="463"/>
      <w:bookmarkEnd w:id="464"/>
      <w:bookmarkEnd w:id="465"/>
      <w:r>
        <w:rPr>
          <w:rFonts w:hint="eastAsia" w:ascii="Times New Roman" w:hAnsi="Times New Roman" w:eastAsia="宋体" w:cs="Times New Roman"/>
          <w:b/>
          <w:bCs/>
          <w:color w:val="000000" w:themeColor="text1"/>
          <w:sz w:val="28"/>
          <w:szCs w:val="28"/>
          <w:highlight w:val="none"/>
          <w14:textFill>
            <w14:solidFill>
              <w14:schemeClr w14:val="tx1"/>
            </w14:solidFill>
          </w14:textFill>
        </w:rPr>
        <w:t xml:space="preserve">5 </w:t>
      </w:r>
      <w:r>
        <w:rPr>
          <w:rFonts w:hint="eastAsia" w:ascii="Times New Roman" w:hAnsi="Times New Roman" w:eastAsia="宋体" w:cs="Times New Roman"/>
          <w:b/>
          <w:color w:val="000000" w:themeColor="text1"/>
          <w:sz w:val="28"/>
          <w:szCs w:val="28"/>
          <w:highlight w:val="none"/>
          <w:lang w:bidi="ar"/>
          <w14:textFill>
            <w14:solidFill>
              <w14:schemeClr w14:val="tx1"/>
            </w14:solidFill>
          </w14:textFill>
        </w:rPr>
        <w:t>质量保证及售后服务</w:t>
      </w:r>
      <w:bookmarkEnd w:id="466"/>
      <w:bookmarkEnd w:id="467"/>
      <w:bookmarkEnd w:id="468"/>
      <w:bookmarkEnd w:id="469"/>
    </w:p>
    <w:p w14:paraId="19607D61">
      <w:pPr>
        <w:spacing w:line="440" w:lineRule="exact"/>
        <w:rPr>
          <w:color w:val="000000" w:themeColor="text1"/>
          <w:sz w:val="24"/>
          <w:highlight w:val="none"/>
          <w14:textFill>
            <w14:solidFill>
              <w14:schemeClr w14:val="tx1"/>
            </w14:solidFill>
          </w14:textFill>
        </w:rPr>
      </w:pPr>
      <w:r>
        <w:rPr>
          <w:rFonts w:hint="eastAsia" w:cs="宋体"/>
          <w:color w:val="000000" w:themeColor="text1"/>
          <w:sz w:val="24"/>
          <w:highlight w:val="none"/>
          <w:lang w:bidi="ar"/>
          <w14:textFill>
            <w14:solidFill>
              <w14:schemeClr w14:val="tx1"/>
            </w14:solidFill>
          </w14:textFill>
        </w:rPr>
        <w:t>主要内容应包括但不限于以下方面：</w:t>
      </w:r>
    </w:p>
    <w:p w14:paraId="196E9696">
      <w:pPr>
        <w:spacing w:line="440" w:lineRule="exact"/>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lang w:bidi="ar"/>
          <w14:textFill>
            <w14:solidFill>
              <w14:schemeClr w14:val="tx1"/>
            </w14:solidFill>
          </w14:textFill>
        </w:rPr>
        <w:t>1</w:t>
      </w:r>
      <w:r>
        <w:rPr>
          <w:rFonts w:hint="eastAsia" w:ascii="Times New Roman" w:hAnsi="Times New Roman" w:cs="宋体"/>
          <w:color w:val="000000" w:themeColor="text1"/>
          <w:sz w:val="24"/>
          <w:highlight w:val="none"/>
          <w:lang w:bidi="ar"/>
          <w14:textFill>
            <w14:solidFill>
              <w14:schemeClr w14:val="tx1"/>
            </w14:solidFill>
          </w14:textFill>
        </w:rPr>
        <w:t>、投标设备免费质量保证时间及质保内容说明。</w:t>
      </w:r>
    </w:p>
    <w:p w14:paraId="512619FD">
      <w:pPr>
        <w:spacing w:line="440" w:lineRule="exact"/>
        <w:ind w:firstLine="48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lang w:bidi="ar"/>
          <w14:textFill>
            <w14:solidFill>
              <w14:schemeClr w14:val="tx1"/>
            </w14:solidFill>
          </w14:textFill>
        </w:rPr>
        <w:t>2</w:t>
      </w:r>
      <w:r>
        <w:rPr>
          <w:rFonts w:hint="eastAsia" w:ascii="Times New Roman" w:hAnsi="Times New Roman" w:cs="宋体"/>
          <w:color w:val="000000" w:themeColor="text1"/>
          <w:sz w:val="24"/>
          <w:highlight w:val="none"/>
          <w:lang w:bidi="ar"/>
          <w14:textFill>
            <w14:solidFill>
              <w14:schemeClr w14:val="tx1"/>
            </w14:solidFill>
          </w14:textFill>
        </w:rPr>
        <w:t>、</w:t>
      </w:r>
      <w:r>
        <w:rPr>
          <w:rFonts w:hint="eastAsia" w:ascii="Times New Roman" w:hAnsi="Times New Roman" w:cs="宋体"/>
          <w:color w:val="000000" w:themeColor="text1"/>
          <w:sz w:val="24"/>
          <w:szCs w:val="20"/>
          <w:highlight w:val="none"/>
          <w:lang w:bidi="ar"/>
          <w14:textFill>
            <w14:solidFill>
              <w14:schemeClr w14:val="tx1"/>
            </w14:solidFill>
          </w14:textFill>
        </w:rPr>
        <w:t>售后服务及服务承诺</w:t>
      </w:r>
      <w:r>
        <w:rPr>
          <w:rFonts w:hint="eastAsia" w:ascii="Times New Roman" w:hAnsi="Times New Roman" w:cs="宋体"/>
          <w:color w:val="000000" w:themeColor="text1"/>
          <w:sz w:val="24"/>
          <w:highlight w:val="none"/>
          <w:lang w:bidi="ar"/>
          <w14:textFill>
            <w14:solidFill>
              <w14:schemeClr w14:val="tx1"/>
            </w14:solidFill>
          </w14:textFill>
        </w:rPr>
        <w:t>。</w:t>
      </w:r>
    </w:p>
    <w:p w14:paraId="2306D6DD">
      <w:pPr>
        <w:spacing w:line="440" w:lineRule="exact"/>
        <w:ind w:firstLine="480"/>
        <w:rPr>
          <w:color w:val="000000" w:themeColor="text1"/>
          <w:highlight w:val="none"/>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3</w:t>
      </w:r>
      <w:r>
        <w:rPr>
          <w:rFonts w:hint="eastAsia" w:ascii="Times New Roman" w:hAnsi="Times New Roman"/>
          <w:color w:val="000000" w:themeColor="text1"/>
          <w:sz w:val="24"/>
          <w:highlight w:val="none"/>
          <w:lang w:val="zh-CN" w:bidi="ar"/>
          <w14:textFill>
            <w14:solidFill>
              <w14:schemeClr w14:val="tx1"/>
            </w14:solidFill>
          </w14:textFill>
        </w:rPr>
        <w:t>、其他说明。</w:t>
      </w:r>
    </w:p>
    <w:p w14:paraId="692DC648">
      <w:pPr>
        <w:spacing w:line="460" w:lineRule="exact"/>
        <w:ind w:firstLine="480"/>
        <w:jc w:val="left"/>
        <w:rPr>
          <w:rFonts w:ascii="宋体" w:hAnsi="宋体" w:cs="宋体"/>
          <w:color w:val="000000" w:themeColor="text1"/>
          <w:sz w:val="24"/>
          <w:szCs w:val="24"/>
          <w:highlight w:val="none"/>
          <w:lang w:bidi="ar"/>
          <w14:textFill>
            <w14:solidFill>
              <w14:schemeClr w14:val="tx1"/>
            </w14:solidFill>
          </w14:textFill>
        </w:rPr>
      </w:pPr>
    </w:p>
    <w:p w14:paraId="3A71624C">
      <w:pPr>
        <w:spacing w:line="440" w:lineRule="exact"/>
        <w:ind w:firstLine="720"/>
        <w:rPr>
          <w:rFonts w:ascii="Times New Roman" w:hAnsi="Times New Roman"/>
          <w:color w:val="000000" w:themeColor="text1"/>
          <w:sz w:val="24"/>
          <w:szCs w:val="24"/>
          <w:highlight w:val="none"/>
          <w14:textFill>
            <w14:solidFill>
              <w14:schemeClr w14:val="tx1"/>
            </w14:solidFill>
          </w14:textFill>
        </w:rPr>
      </w:pPr>
    </w:p>
    <w:p w14:paraId="22DC1250">
      <w:pPr>
        <w:rPr>
          <w:rFonts w:ascii="Times New Roman" w:hAnsi="Times New Roman"/>
          <w:b/>
          <w:bCs/>
          <w:color w:val="000000" w:themeColor="text1"/>
          <w:sz w:val="28"/>
          <w:szCs w:val="28"/>
          <w:highlight w:val="none"/>
          <w14:textFill>
            <w14:solidFill>
              <w14:schemeClr w14:val="tx1"/>
            </w14:solidFill>
          </w14:textFill>
        </w:rPr>
      </w:pPr>
      <w:r>
        <w:rPr>
          <w:rFonts w:hint="eastAsia" w:ascii="Times New Roman" w:hAnsi="Times New Roman"/>
          <w:b/>
          <w:bCs/>
          <w:color w:val="000000" w:themeColor="text1"/>
          <w:sz w:val="28"/>
          <w:szCs w:val="28"/>
          <w:highlight w:val="none"/>
          <w14:textFill>
            <w14:solidFill>
              <w14:schemeClr w14:val="tx1"/>
            </w14:solidFill>
          </w14:textFill>
        </w:rPr>
        <w:br w:type="page" w:clear="all"/>
      </w:r>
    </w:p>
    <w:p w14:paraId="7744A475">
      <w:pPr>
        <w:pStyle w:val="2"/>
        <w:spacing w:line="440" w:lineRule="exact"/>
        <w:jc w:val="center"/>
        <w:rPr>
          <w:rFonts w:ascii="Times New Roman" w:hAnsi="Times New Roman" w:eastAsia="宋体" w:cs="Times New Roman"/>
          <w:b/>
          <w:bCs/>
          <w:color w:val="000000" w:themeColor="text1"/>
          <w:sz w:val="28"/>
          <w:szCs w:val="28"/>
          <w:highlight w:val="none"/>
          <w14:textFill>
            <w14:solidFill>
              <w14:schemeClr w14:val="tx1"/>
            </w14:solidFill>
          </w14:textFill>
        </w:rPr>
      </w:pPr>
      <w:bookmarkStart w:id="470" w:name="_Toc23215"/>
      <w:bookmarkStart w:id="471" w:name="_Toc3368"/>
      <w:bookmarkStart w:id="472" w:name="_Toc9593"/>
      <w:bookmarkStart w:id="473" w:name="_Toc9320"/>
      <w:r>
        <w:rPr>
          <w:rFonts w:hint="eastAsia" w:ascii="Times New Roman" w:hAnsi="Times New Roman" w:eastAsia="宋体" w:cs="Times New Roman"/>
          <w:b/>
          <w:bCs/>
          <w:color w:val="000000" w:themeColor="text1"/>
          <w:sz w:val="28"/>
          <w:szCs w:val="28"/>
          <w:highlight w:val="none"/>
          <w14:textFill>
            <w14:solidFill>
              <w14:schemeClr w14:val="tx1"/>
            </w14:solidFill>
          </w14:textFill>
        </w:rPr>
        <w:t>附件6 业绩一览表</w:t>
      </w:r>
      <w:bookmarkEnd w:id="470"/>
      <w:bookmarkEnd w:id="471"/>
      <w:bookmarkEnd w:id="472"/>
      <w:bookmarkEnd w:id="473"/>
    </w:p>
    <w:tbl>
      <w:tblPr>
        <w:tblStyle w:val="42"/>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2131"/>
        <w:gridCol w:w="1847"/>
        <w:gridCol w:w="2814"/>
        <w:gridCol w:w="1460"/>
      </w:tblGrid>
      <w:tr w14:paraId="5742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603D3396">
            <w:pPr>
              <w:jc w:val="center"/>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序号</w:t>
            </w:r>
          </w:p>
        </w:tc>
        <w:tc>
          <w:tcPr>
            <w:tcW w:w="2131" w:type="dxa"/>
            <w:tcBorders>
              <w:top w:val="single" w:color="auto" w:sz="4" w:space="0"/>
              <w:left w:val="single" w:color="auto" w:sz="4" w:space="0"/>
              <w:bottom w:val="single" w:color="auto" w:sz="4" w:space="0"/>
              <w:right w:val="single" w:color="auto" w:sz="4" w:space="0"/>
            </w:tcBorders>
            <w:noWrap w:val="0"/>
            <w:vAlign w:val="center"/>
          </w:tcPr>
          <w:p w14:paraId="51F5B77F">
            <w:pPr>
              <w:jc w:val="center"/>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项目名称</w:t>
            </w:r>
          </w:p>
        </w:tc>
        <w:tc>
          <w:tcPr>
            <w:tcW w:w="1847" w:type="dxa"/>
            <w:tcBorders>
              <w:top w:val="single" w:color="auto" w:sz="4" w:space="0"/>
              <w:left w:val="single" w:color="auto" w:sz="4" w:space="0"/>
              <w:bottom w:val="single" w:color="auto" w:sz="4" w:space="0"/>
              <w:right w:val="single" w:color="auto" w:sz="4" w:space="0"/>
            </w:tcBorders>
            <w:noWrap w:val="0"/>
            <w:vAlign w:val="center"/>
          </w:tcPr>
          <w:p w14:paraId="78670BB5">
            <w:pPr>
              <w:jc w:val="center"/>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业主</w:t>
            </w:r>
          </w:p>
        </w:tc>
        <w:tc>
          <w:tcPr>
            <w:tcW w:w="2814" w:type="dxa"/>
            <w:tcBorders>
              <w:top w:val="single" w:color="auto" w:sz="4" w:space="0"/>
              <w:left w:val="single" w:color="auto" w:sz="4" w:space="0"/>
              <w:bottom w:val="single" w:color="auto" w:sz="4" w:space="0"/>
              <w:right w:val="single" w:color="auto" w:sz="4" w:space="0"/>
            </w:tcBorders>
            <w:noWrap w:val="0"/>
            <w:vAlign w:val="center"/>
          </w:tcPr>
          <w:p w14:paraId="52DAB8B2">
            <w:pPr>
              <w:jc w:val="center"/>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合同签订日期</w:t>
            </w:r>
          </w:p>
        </w:tc>
        <w:tc>
          <w:tcPr>
            <w:tcW w:w="1460" w:type="dxa"/>
            <w:tcBorders>
              <w:top w:val="single" w:color="auto" w:sz="4" w:space="0"/>
              <w:left w:val="single" w:color="auto" w:sz="4" w:space="0"/>
              <w:bottom w:val="single" w:color="auto" w:sz="4" w:space="0"/>
              <w:right w:val="single" w:color="auto" w:sz="4" w:space="0"/>
            </w:tcBorders>
            <w:noWrap w:val="0"/>
            <w:vAlign w:val="center"/>
          </w:tcPr>
          <w:p w14:paraId="67310335">
            <w:pPr>
              <w:jc w:val="center"/>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cs="宋体"/>
                <w:b/>
                <w:bCs/>
                <w:color w:val="000000" w:themeColor="text1"/>
                <w:sz w:val="24"/>
                <w:szCs w:val="24"/>
                <w:highlight w:val="none"/>
                <w:lang w:bidi="ar"/>
                <w14:textFill>
                  <w14:solidFill>
                    <w14:schemeClr w14:val="tx1"/>
                  </w14:solidFill>
                </w14:textFill>
              </w:rPr>
              <w:t>备注</w:t>
            </w:r>
          </w:p>
        </w:tc>
      </w:tr>
      <w:tr w14:paraId="4E98F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5524D71F">
            <w:pPr>
              <w:jc w:val="cente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1</w:t>
            </w:r>
          </w:p>
        </w:tc>
        <w:tc>
          <w:tcPr>
            <w:tcW w:w="2131" w:type="dxa"/>
            <w:tcBorders>
              <w:top w:val="single" w:color="auto" w:sz="4" w:space="0"/>
              <w:left w:val="single" w:color="auto" w:sz="4" w:space="0"/>
              <w:bottom w:val="single" w:color="auto" w:sz="4" w:space="0"/>
              <w:right w:val="single" w:color="auto" w:sz="4" w:space="0"/>
            </w:tcBorders>
            <w:noWrap w:val="0"/>
            <w:vAlign w:val="center"/>
          </w:tcPr>
          <w:p w14:paraId="3FD38AEA">
            <w:pPr>
              <w:jc w:val="center"/>
              <w:rPr>
                <w:rFonts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noWrap w:val="0"/>
            <w:vAlign w:val="center"/>
          </w:tcPr>
          <w:p w14:paraId="67B4B5E6">
            <w:pPr>
              <w:jc w:val="center"/>
              <w:rPr>
                <w:rFonts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noWrap w:val="0"/>
            <w:vAlign w:val="center"/>
          </w:tcPr>
          <w:p w14:paraId="7EBC9078">
            <w:pPr>
              <w:jc w:val="center"/>
              <w:rPr>
                <w:rFonts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noWrap w:val="0"/>
            <w:vAlign w:val="center"/>
          </w:tcPr>
          <w:p w14:paraId="4198FD9D">
            <w:pPr>
              <w:jc w:val="center"/>
              <w:rPr>
                <w:rFonts w:ascii="Times New Roman" w:hAnsi="Times New Roman"/>
                <w:color w:val="000000" w:themeColor="text1"/>
                <w:sz w:val="24"/>
                <w:szCs w:val="24"/>
                <w:highlight w:val="none"/>
                <w14:textFill>
                  <w14:solidFill>
                    <w14:schemeClr w14:val="tx1"/>
                  </w14:solidFill>
                </w14:textFill>
              </w:rPr>
            </w:pPr>
          </w:p>
        </w:tc>
      </w:tr>
      <w:tr w14:paraId="6358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482A4980">
            <w:pPr>
              <w:jc w:val="cente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2</w:t>
            </w:r>
          </w:p>
        </w:tc>
        <w:tc>
          <w:tcPr>
            <w:tcW w:w="2131" w:type="dxa"/>
            <w:tcBorders>
              <w:top w:val="single" w:color="auto" w:sz="4" w:space="0"/>
              <w:left w:val="single" w:color="auto" w:sz="4" w:space="0"/>
              <w:bottom w:val="single" w:color="auto" w:sz="4" w:space="0"/>
              <w:right w:val="single" w:color="auto" w:sz="4" w:space="0"/>
            </w:tcBorders>
            <w:noWrap w:val="0"/>
            <w:vAlign w:val="center"/>
          </w:tcPr>
          <w:p w14:paraId="1450A060">
            <w:pPr>
              <w:jc w:val="center"/>
              <w:rPr>
                <w:rFonts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noWrap w:val="0"/>
            <w:vAlign w:val="center"/>
          </w:tcPr>
          <w:p w14:paraId="443EB0C8">
            <w:pPr>
              <w:jc w:val="center"/>
              <w:rPr>
                <w:rFonts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noWrap w:val="0"/>
            <w:vAlign w:val="center"/>
          </w:tcPr>
          <w:p w14:paraId="3D7F7898">
            <w:pPr>
              <w:jc w:val="center"/>
              <w:rPr>
                <w:rFonts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noWrap w:val="0"/>
            <w:vAlign w:val="center"/>
          </w:tcPr>
          <w:p w14:paraId="1676C141">
            <w:pPr>
              <w:jc w:val="center"/>
              <w:rPr>
                <w:rFonts w:ascii="Times New Roman" w:hAnsi="Times New Roman"/>
                <w:color w:val="000000" w:themeColor="text1"/>
                <w:sz w:val="24"/>
                <w:szCs w:val="24"/>
                <w:highlight w:val="none"/>
                <w14:textFill>
                  <w14:solidFill>
                    <w14:schemeClr w14:val="tx1"/>
                  </w14:solidFill>
                </w14:textFill>
              </w:rPr>
            </w:pPr>
          </w:p>
        </w:tc>
      </w:tr>
      <w:tr w14:paraId="2B42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3BE46BC8">
            <w:pPr>
              <w:jc w:val="cente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3</w:t>
            </w:r>
          </w:p>
        </w:tc>
        <w:tc>
          <w:tcPr>
            <w:tcW w:w="2131" w:type="dxa"/>
            <w:tcBorders>
              <w:top w:val="single" w:color="auto" w:sz="4" w:space="0"/>
              <w:left w:val="single" w:color="auto" w:sz="4" w:space="0"/>
              <w:bottom w:val="single" w:color="auto" w:sz="4" w:space="0"/>
              <w:right w:val="single" w:color="auto" w:sz="4" w:space="0"/>
            </w:tcBorders>
            <w:noWrap w:val="0"/>
            <w:vAlign w:val="center"/>
          </w:tcPr>
          <w:p w14:paraId="3032E047">
            <w:pPr>
              <w:jc w:val="center"/>
              <w:rPr>
                <w:rFonts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noWrap w:val="0"/>
            <w:vAlign w:val="center"/>
          </w:tcPr>
          <w:p w14:paraId="7E97FE92">
            <w:pPr>
              <w:jc w:val="center"/>
              <w:rPr>
                <w:rFonts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noWrap w:val="0"/>
            <w:vAlign w:val="center"/>
          </w:tcPr>
          <w:p w14:paraId="5D273011">
            <w:pPr>
              <w:jc w:val="center"/>
              <w:rPr>
                <w:rFonts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noWrap w:val="0"/>
            <w:vAlign w:val="center"/>
          </w:tcPr>
          <w:p w14:paraId="2EE1C101">
            <w:pPr>
              <w:jc w:val="center"/>
              <w:rPr>
                <w:rFonts w:ascii="Times New Roman" w:hAnsi="Times New Roman"/>
                <w:color w:val="000000" w:themeColor="text1"/>
                <w:sz w:val="24"/>
                <w:szCs w:val="24"/>
                <w:highlight w:val="none"/>
                <w14:textFill>
                  <w14:solidFill>
                    <w14:schemeClr w14:val="tx1"/>
                  </w14:solidFill>
                </w14:textFill>
              </w:rPr>
            </w:pPr>
          </w:p>
        </w:tc>
      </w:tr>
      <w:tr w14:paraId="31392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562C7487">
            <w:pPr>
              <w:jc w:val="cente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lang w:bidi="ar"/>
                <w14:textFill>
                  <w14:solidFill>
                    <w14:schemeClr w14:val="tx1"/>
                  </w14:solidFill>
                </w14:textFill>
              </w:rPr>
              <w:t>……</w:t>
            </w:r>
          </w:p>
        </w:tc>
        <w:tc>
          <w:tcPr>
            <w:tcW w:w="2131" w:type="dxa"/>
            <w:tcBorders>
              <w:top w:val="single" w:color="auto" w:sz="4" w:space="0"/>
              <w:left w:val="single" w:color="auto" w:sz="4" w:space="0"/>
              <w:bottom w:val="single" w:color="auto" w:sz="4" w:space="0"/>
              <w:right w:val="single" w:color="auto" w:sz="4" w:space="0"/>
            </w:tcBorders>
            <w:noWrap w:val="0"/>
            <w:vAlign w:val="center"/>
          </w:tcPr>
          <w:p w14:paraId="641010C8">
            <w:pPr>
              <w:jc w:val="center"/>
              <w:rPr>
                <w:rFonts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noWrap w:val="0"/>
            <w:vAlign w:val="center"/>
          </w:tcPr>
          <w:p w14:paraId="4F32DC31">
            <w:pPr>
              <w:jc w:val="center"/>
              <w:rPr>
                <w:rFonts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noWrap w:val="0"/>
            <w:vAlign w:val="center"/>
          </w:tcPr>
          <w:p w14:paraId="186E1A21">
            <w:pPr>
              <w:jc w:val="center"/>
              <w:rPr>
                <w:rFonts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noWrap w:val="0"/>
            <w:vAlign w:val="center"/>
          </w:tcPr>
          <w:p w14:paraId="1C5E0D16">
            <w:pPr>
              <w:jc w:val="center"/>
              <w:rPr>
                <w:rFonts w:ascii="Times New Roman" w:hAnsi="Times New Roman"/>
                <w:color w:val="000000" w:themeColor="text1"/>
                <w:sz w:val="24"/>
                <w:szCs w:val="24"/>
                <w:highlight w:val="none"/>
                <w14:textFill>
                  <w14:solidFill>
                    <w14:schemeClr w14:val="tx1"/>
                  </w14:solidFill>
                </w14:textFill>
              </w:rPr>
            </w:pPr>
          </w:p>
        </w:tc>
      </w:tr>
      <w:tr w14:paraId="5EBCB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2C8A1D89">
            <w:pPr>
              <w:jc w:val="center"/>
              <w:rPr>
                <w:rFonts w:ascii="Times New Roman" w:hAnsi="Times New Roman"/>
                <w:color w:val="000000" w:themeColor="text1"/>
                <w:sz w:val="24"/>
                <w:szCs w:val="24"/>
                <w:highlight w:val="none"/>
                <w14:textFill>
                  <w14:solidFill>
                    <w14:schemeClr w14:val="tx1"/>
                  </w14:solidFill>
                </w14:textFill>
              </w:rPr>
            </w:pPr>
          </w:p>
        </w:tc>
        <w:tc>
          <w:tcPr>
            <w:tcW w:w="2131" w:type="dxa"/>
            <w:tcBorders>
              <w:top w:val="single" w:color="auto" w:sz="4" w:space="0"/>
              <w:left w:val="single" w:color="auto" w:sz="4" w:space="0"/>
              <w:bottom w:val="single" w:color="auto" w:sz="4" w:space="0"/>
              <w:right w:val="single" w:color="auto" w:sz="4" w:space="0"/>
            </w:tcBorders>
            <w:noWrap w:val="0"/>
            <w:vAlign w:val="center"/>
          </w:tcPr>
          <w:p w14:paraId="76DFFE58">
            <w:pPr>
              <w:jc w:val="center"/>
              <w:rPr>
                <w:rFonts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noWrap w:val="0"/>
            <w:vAlign w:val="center"/>
          </w:tcPr>
          <w:p w14:paraId="1BE91FA1">
            <w:pPr>
              <w:jc w:val="center"/>
              <w:rPr>
                <w:rFonts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noWrap w:val="0"/>
            <w:vAlign w:val="center"/>
          </w:tcPr>
          <w:p w14:paraId="055FC0AB">
            <w:pPr>
              <w:jc w:val="center"/>
              <w:rPr>
                <w:rFonts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noWrap w:val="0"/>
            <w:vAlign w:val="center"/>
          </w:tcPr>
          <w:p w14:paraId="3916EABD">
            <w:pPr>
              <w:jc w:val="center"/>
              <w:rPr>
                <w:rFonts w:ascii="Times New Roman" w:hAnsi="Times New Roman"/>
                <w:color w:val="000000" w:themeColor="text1"/>
                <w:sz w:val="24"/>
                <w:szCs w:val="24"/>
                <w:highlight w:val="none"/>
                <w14:textFill>
                  <w14:solidFill>
                    <w14:schemeClr w14:val="tx1"/>
                  </w14:solidFill>
                </w14:textFill>
              </w:rPr>
            </w:pPr>
          </w:p>
        </w:tc>
      </w:tr>
      <w:tr w14:paraId="7B4B9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108" w:type="dxa"/>
            <w:tcBorders>
              <w:top w:val="single" w:color="auto" w:sz="4" w:space="0"/>
              <w:left w:val="single" w:color="auto" w:sz="4" w:space="0"/>
              <w:bottom w:val="single" w:color="auto" w:sz="4" w:space="0"/>
              <w:right w:val="single" w:color="auto" w:sz="4" w:space="0"/>
            </w:tcBorders>
            <w:noWrap w:val="0"/>
            <w:vAlign w:val="center"/>
          </w:tcPr>
          <w:p w14:paraId="4A2CDE9D">
            <w:pPr>
              <w:jc w:val="center"/>
              <w:rPr>
                <w:rFonts w:ascii="Times New Roman" w:hAnsi="Times New Roman"/>
                <w:color w:val="000000" w:themeColor="text1"/>
                <w:sz w:val="24"/>
                <w:szCs w:val="24"/>
                <w:highlight w:val="none"/>
                <w14:textFill>
                  <w14:solidFill>
                    <w14:schemeClr w14:val="tx1"/>
                  </w14:solidFill>
                </w14:textFill>
              </w:rPr>
            </w:pPr>
          </w:p>
        </w:tc>
        <w:tc>
          <w:tcPr>
            <w:tcW w:w="2131" w:type="dxa"/>
            <w:tcBorders>
              <w:top w:val="single" w:color="auto" w:sz="4" w:space="0"/>
              <w:left w:val="single" w:color="auto" w:sz="4" w:space="0"/>
              <w:bottom w:val="single" w:color="auto" w:sz="4" w:space="0"/>
              <w:right w:val="single" w:color="auto" w:sz="4" w:space="0"/>
            </w:tcBorders>
            <w:noWrap w:val="0"/>
            <w:vAlign w:val="center"/>
          </w:tcPr>
          <w:p w14:paraId="6FAFF38F">
            <w:pPr>
              <w:jc w:val="center"/>
              <w:rPr>
                <w:rFonts w:ascii="Times New Roman" w:hAnsi="Times New Roman"/>
                <w:color w:val="000000" w:themeColor="text1"/>
                <w:sz w:val="24"/>
                <w:szCs w:val="24"/>
                <w:highlight w:val="none"/>
                <w14:textFill>
                  <w14:solidFill>
                    <w14:schemeClr w14:val="tx1"/>
                  </w14:solidFill>
                </w14:textFill>
              </w:rPr>
            </w:pPr>
          </w:p>
        </w:tc>
        <w:tc>
          <w:tcPr>
            <w:tcW w:w="1847" w:type="dxa"/>
            <w:tcBorders>
              <w:top w:val="single" w:color="auto" w:sz="4" w:space="0"/>
              <w:left w:val="single" w:color="auto" w:sz="4" w:space="0"/>
              <w:bottom w:val="single" w:color="auto" w:sz="4" w:space="0"/>
              <w:right w:val="single" w:color="auto" w:sz="4" w:space="0"/>
            </w:tcBorders>
            <w:noWrap w:val="0"/>
            <w:vAlign w:val="center"/>
          </w:tcPr>
          <w:p w14:paraId="2961D4C6">
            <w:pPr>
              <w:jc w:val="center"/>
              <w:rPr>
                <w:rFonts w:ascii="Times New Roman" w:hAnsi="Times New Roman"/>
                <w:color w:val="000000" w:themeColor="text1"/>
                <w:sz w:val="24"/>
                <w:szCs w:val="24"/>
                <w:highlight w:val="none"/>
                <w14:textFill>
                  <w14:solidFill>
                    <w14:schemeClr w14:val="tx1"/>
                  </w14:solidFill>
                </w14:textFill>
              </w:rPr>
            </w:pPr>
          </w:p>
        </w:tc>
        <w:tc>
          <w:tcPr>
            <w:tcW w:w="2814" w:type="dxa"/>
            <w:tcBorders>
              <w:top w:val="single" w:color="auto" w:sz="4" w:space="0"/>
              <w:left w:val="single" w:color="auto" w:sz="4" w:space="0"/>
              <w:bottom w:val="single" w:color="auto" w:sz="4" w:space="0"/>
              <w:right w:val="single" w:color="auto" w:sz="4" w:space="0"/>
            </w:tcBorders>
            <w:noWrap w:val="0"/>
            <w:vAlign w:val="center"/>
          </w:tcPr>
          <w:p w14:paraId="407DC4F1">
            <w:pPr>
              <w:jc w:val="center"/>
              <w:rPr>
                <w:rFonts w:ascii="Times New Roman" w:hAnsi="Times New Roman"/>
                <w:color w:val="000000" w:themeColor="text1"/>
                <w:sz w:val="24"/>
                <w:szCs w:val="24"/>
                <w:highlight w:val="none"/>
                <w14:textFill>
                  <w14:solidFill>
                    <w14:schemeClr w14:val="tx1"/>
                  </w14:solidFill>
                </w14:textFill>
              </w:rPr>
            </w:pPr>
          </w:p>
        </w:tc>
        <w:tc>
          <w:tcPr>
            <w:tcW w:w="1460" w:type="dxa"/>
            <w:tcBorders>
              <w:top w:val="single" w:color="auto" w:sz="4" w:space="0"/>
              <w:left w:val="single" w:color="auto" w:sz="4" w:space="0"/>
              <w:bottom w:val="single" w:color="auto" w:sz="4" w:space="0"/>
              <w:right w:val="single" w:color="auto" w:sz="4" w:space="0"/>
            </w:tcBorders>
            <w:noWrap w:val="0"/>
            <w:vAlign w:val="center"/>
          </w:tcPr>
          <w:p w14:paraId="4D6E7670">
            <w:pPr>
              <w:jc w:val="center"/>
              <w:rPr>
                <w:rFonts w:ascii="Times New Roman" w:hAnsi="Times New Roman"/>
                <w:color w:val="000000" w:themeColor="text1"/>
                <w:sz w:val="24"/>
                <w:szCs w:val="24"/>
                <w:highlight w:val="none"/>
                <w14:textFill>
                  <w14:solidFill>
                    <w14:schemeClr w14:val="tx1"/>
                  </w14:solidFill>
                </w14:textFill>
              </w:rPr>
            </w:pPr>
          </w:p>
        </w:tc>
      </w:tr>
    </w:tbl>
    <w:p w14:paraId="06B29A57">
      <w:pPr>
        <w:spacing w:line="440" w:lineRule="exact"/>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注：1、上述表格内容为投标人具有的符合“第五章  评标方法与评标标准”的业绩。</w:t>
      </w:r>
    </w:p>
    <w:p w14:paraId="115AA563">
      <w:pPr>
        <w:spacing w:line="440" w:lineRule="exact"/>
        <w:ind w:firstLine="480"/>
        <w:rPr>
          <w:rFonts w:ascii="宋体" w:hAnsi="宋体" w:cs="宋体"/>
          <w:bCs/>
          <w:color w:val="000000" w:themeColor="text1"/>
          <w:sz w:val="24"/>
          <w:szCs w:val="20"/>
          <w:highlight w:val="none"/>
          <w:lang w:bidi="ar"/>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2、请投标人提供上述表格中合同协议（须至少包括合同首页、签字盖章页、合同货物清单）。</w:t>
      </w:r>
    </w:p>
    <w:p w14:paraId="72461D49">
      <w:pPr>
        <w:spacing w:line="440" w:lineRule="exact"/>
        <w:ind w:firstLine="480"/>
        <w:rPr>
          <w:rFonts w:ascii="宋体" w:hAnsi="宋体" w:cs="宋体"/>
          <w:bCs/>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lang w:bidi="ar"/>
          <w14:textFill>
            <w14:solidFill>
              <w14:schemeClr w14:val="tx1"/>
            </w14:solidFill>
          </w14:textFill>
        </w:rPr>
        <w:t>3、如有需要说明的事项，请在备注中列明。</w:t>
      </w:r>
    </w:p>
    <w:p w14:paraId="3A710422">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474" w:name="_Toc30343"/>
      <w:bookmarkStart w:id="475" w:name="_Toc32181"/>
      <w:bookmarkStart w:id="476" w:name="_Toc15601"/>
      <w:bookmarkStart w:id="477" w:name="_Toc23973"/>
      <w:r>
        <w:rPr>
          <w:rFonts w:hint="eastAsia" w:ascii="Times New Roman" w:hAnsi="Times New Roman"/>
          <w:b/>
          <w:bCs/>
          <w:color w:val="000000" w:themeColor="text1"/>
          <w:sz w:val="28"/>
          <w:szCs w:val="28"/>
          <w:highlight w:val="none"/>
          <w14:textFill>
            <w14:solidFill>
              <w14:schemeClr w14:val="tx1"/>
            </w14:solidFill>
          </w14:textFill>
        </w:rPr>
        <w:t>附件7 商务要求响应及偏离表</w:t>
      </w:r>
      <w:bookmarkEnd w:id="474"/>
      <w:bookmarkEnd w:id="475"/>
      <w:bookmarkEnd w:id="476"/>
      <w:bookmarkEnd w:id="477"/>
    </w:p>
    <w:tbl>
      <w:tblPr>
        <w:tblStyle w:val="42"/>
        <w:tblpPr w:leftFromText="180" w:rightFromText="180" w:vertAnchor="text" w:tblpXSpec="center" w:tblpY="1"/>
        <w:tblW w:w="93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77"/>
        <w:gridCol w:w="2308"/>
        <w:gridCol w:w="3229"/>
      </w:tblGrid>
      <w:tr w14:paraId="394FD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21EF9289">
            <w:pPr>
              <w:jc w:val="center"/>
              <w:rPr>
                <w:b/>
                <w:color w:val="000000" w:themeColor="text1"/>
                <w:sz w:val="24"/>
                <w:szCs w:val="24"/>
                <w:highlight w:val="none"/>
                <w14:textFill>
                  <w14:solidFill>
                    <w14:schemeClr w14:val="tx1"/>
                  </w14:solidFill>
                </w14:textFill>
              </w:rPr>
            </w:pPr>
            <w:r>
              <w:rPr>
                <w:rFonts w:hint="eastAsia" w:cs="宋体"/>
                <w:b/>
                <w:color w:val="000000" w:themeColor="text1"/>
                <w:sz w:val="24"/>
                <w:szCs w:val="24"/>
                <w:highlight w:val="none"/>
                <w:lang w:bidi="ar"/>
                <w14:textFill>
                  <w14:solidFill>
                    <w14:schemeClr w14:val="tx1"/>
                  </w14:solidFill>
                </w14:textFill>
              </w:rPr>
              <w:t>合同条款</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0B63E1C7">
            <w:pPr>
              <w:jc w:val="center"/>
              <w:rPr>
                <w:b/>
                <w:color w:val="000000" w:themeColor="text1"/>
                <w:sz w:val="24"/>
                <w:szCs w:val="24"/>
                <w:highlight w:val="none"/>
                <w14:textFill>
                  <w14:solidFill>
                    <w14:schemeClr w14:val="tx1"/>
                  </w14:solidFill>
                </w14:textFill>
              </w:rPr>
            </w:pPr>
            <w:r>
              <w:rPr>
                <w:rFonts w:hint="eastAsia" w:cs="宋体"/>
                <w:b/>
                <w:color w:val="000000" w:themeColor="text1"/>
                <w:sz w:val="24"/>
                <w:szCs w:val="24"/>
                <w:highlight w:val="none"/>
                <w:lang w:bidi="ar"/>
                <w14:textFill>
                  <w14:solidFill>
                    <w14:schemeClr w14:val="tx1"/>
                  </w14:solidFill>
                </w14:textFill>
              </w:rPr>
              <w:t>有无偏离</w:t>
            </w:r>
          </w:p>
        </w:tc>
        <w:tc>
          <w:tcPr>
            <w:tcW w:w="3229" w:type="dxa"/>
            <w:tcBorders>
              <w:top w:val="single" w:color="auto" w:sz="4" w:space="0"/>
              <w:left w:val="single" w:color="auto" w:sz="4" w:space="0"/>
              <w:bottom w:val="single" w:color="auto" w:sz="4" w:space="0"/>
              <w:right w:val="single" w:color="auto" w:sz="4" w:space="0"/>
            </w:tcBorders>
            <w:noWrap w:val="0"/>
            <w:vAlign w:val="center"/>
          </w:tcPr>
          <w:p w14:paraId="1AC9C625">
            <w:pPr>
              <w:jc w:val="center"/>
              <w:rPr>
                <w:b/>
                <w:color w:val="000000" w:themeColor="text1"/>
                <w:sz w:val="24"/>
                <w:szCs w:val="24"/>
                <w:highlight w:val="none"/>
                <w14:textFill>
                  <w14:solidFill>
                    <w14:schemeClr w14:val="tx1"/>
                  </w14:solidFill>
                </w14:textFill>
              </w:rPr>
            </w:pPr>
            <w:r>
              <w:rPr>
                <w:rFonts w:hint="eastAsia" w:cs="宋体"/>
                <w:b/>
                <w:color w:val="000000" w:themeColor="text1"/>
                <w:sz w:val="24"/>
                <w:szCs w:val="24"/>
                <w:highlight w:val="none"/>
                <w:lang w:bidi="ar"/>
                <w14:textFill>
                  <w14:solidFill>
                    <w14:schemeClr w14:val="tx1"/>
                  </w14:solidFill>
                </w14:textFill>
              </w:rPr>
              <w:t>偏离内容及原因</w:t>
            </w:r>
          </w:p>
        </w:tc>
      </w:tr>
      <w:tr w14:paraId="64F2E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76D6C337">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第一条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定义</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1E373273">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355B5B79">
            <w:pPr>
              <w:rPr>
                <w:rFonts w:ascii="Times New Roman" w:hAnsi="Times New Roman"/>
                <w:color w:val="000000" w:themeColor="text1"/>
                <w:sz w:val="24"/>
                <w:szCs w:val="24"/>
                <w:highlight w:val="none"/>
                <w14:textFill>
                  <w14:solidFill>
                    <w14:schemeClr w14:val="tx1"/>
                  </w14:solidFill>
                </w14:textFill>
              </w:rPr>
            </w:pPr>
          </w:p>
        </w:tc>
      </w:tr>
      <w:tr w14:paraId="713E0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143B20EC">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第二条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组成本合同的文件</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04EA18A0">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2B9293A2">
            <w:pPr>
              <w:rPr>
                <w:rFonts w:ascii="Times New Roman" w:hAnsi="Times New Roman"/>
                <w:color w:val="000000" w:themeColor="text1"/>
                <w:sz w:val="24"/>
                <w:szCs w:val="24"/>
                <w:highlight w:val="none"/>
                <w14:textFill>
                  <w14:solidFill>
                    <w14:schemeClr w14:val="tx1"/>
                  </w14:solidFill>
                </w14:textFill>
              </w:rPr>
            </w:pPr>
          </w:p>
        </w:tc>
      </w:tr>
      <w:tr w14:paraId="7BD0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0A1C47FE">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第三条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合同货物</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50A23A58">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7FC7C2A0">
            <w:pPr>
              <w:rPr>
                <w:rFonts w:ascii="Times New Roman" w:hAnsi="Times New Roman"/>
                <w:color w:val="000000" w:themeColor="text1"/>
                <w:sz w:val="24"/>
                <w:szCs w:val="24"/>
                <w:highlight w:val="none"/>
                <w14:textFill>
                  <w14:solidFill>
                    <w14:schemeClr w14:val="tx1"/>
                  </w14:solidFill>
                </w14:textFill>
              </w:rPr>
            </w:pPr>
          </w:p>
        </w:tc>
      </w:tr>
      <w:tr w14:paraId="55D5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3DC96FBC">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第四条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合同总价</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08481A49">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55E72850">
            <w:pPr>
              <w:rPr>
                <w:rFonts w:ascii="Times New Roman" w:hAnsi="Times New Roman"/>
                <w:color w:val="000000" w:themeColor="text1"/>
                <w:sz w:val="24"/>
                <w:szCs w:val="24"/>
                <w:highlight w:val="none"/>
                <w14:textFill>
                  <w14:solidFill>
                    <w14:schemeClr w14:val="tx1"/>
                  </w14:solidFill>
                </w14:textFill>
              </w:rPr>
            </w:pPr>
          </w:p>
        </w:tc>
      </w:tr>
      <w:tr w14:paraId="14824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0C60CE33">
            <w:pPr>
              <w:rPr>
                <w:rFonts w:ascii="Times New Roman" w:hAnsi="Times New Roman" w:cs="宋体"/>
                <w:color w:val="000000" w:themeColor="text1"/>
                <w:sz w:val="24"/>
                <w:szCs w:val="24"/>
                <w:highlight w:val="none"/>
                <w:lang w:bidi="ar"/>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第五条 付款方式</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0168FD43">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75155E26">
            <w:pPr>
              <w:rPr>
                <w:rFonts w:ascii="Times New Roman" w:hAnsi="Times New Roman"/>
                <w:color w:val="000000" w:themeColor="text1"/>
                <w:sz w:val="24"/>
                <w:szCs w:val="24"/>
                <w:highlight w:val="none"/>
                <w14:textFill>
                  <w14:solidFill>
                    <w14:schemeClr w14:val="tx1"/>
                  </w14:solidFill>
                </w14:textFill>
              </w:rPr>
            </w:pPr>
          </w:p>
        </w:tc>
      </w:tr>
      <w:tr w14:paraId="645D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0725058B">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第六条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权利保证</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4879A5E1">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541F8CD5">
            <w:pPr>
              <w:rPr>
                <w:rFonts w:ascii="Times New Roman" w:hAnsi="Times New Roman"/>
                <w:color w:val="000000" w:themeColor="text1"/>
                <w:sz w:val="24"/>
                <w:szCs w:val="24"/>
                <w:highlight w:val="none"/>
                <w14:textFill>
                  <w14:solidFill>
                    <w14:schemeClr w14:val="tx1"/>
                  </w14:solidFill>
                </w14:textFill>
              </w:rPr>
            </w:pPr>
          </w:p>
        </w:tc>
      </w:tr>
      <w:tr w14:paraId="07AF0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43DA1702">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第七条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质量保证</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60A1AD89">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440895D2">
            <w:pPr>
              <w:rPr>
                <w:rFonts w:ascii="Times New Roman" w:hAnsi="Times New Roman"/>
                <w:color w:val="000000" w:themeColor="text1"/>
                <w:sz w:val="24"/>
                <w:szCs w:val="24"/>
                <w:highlight w:val="none"/>
                <w14:textFill>
                  <w14:solidFill>
                    <w14:schemeClr w14:val="tx1"/>
                  </w14:solidFill>
                </w14:textFill>
              </w:rPr>
            </w:pPr>
          </w:p>
        </w:tc>
      </w:tr>
      <w:tr w14:paraId="5C2F4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4A4648B6">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第八条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包装要求</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1C03A9EB">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71A8C80F">
            <w:pPr>
              <w:rPr>
                <w:rFonts w:ascii="Times New Roman" w:hAnsi="Times New Roman"/>
                <w:color w:val="000000" w:themeColor="text1"/>
                <w:sz w:val="24"/>
                <w:szCs w:val="24"/>
                <w:highlight w:val="none"/>
                <w14:textFill>
                  <w14:solidFill>
                    <w14:schemeClr w14:val="tx1"/>
                  </w14:solidFill>
                </w14:textFill>
              </w:rPr>
            </w:pPr>
          </w:p>
        </w:tc>
      </w:tr>
      <w:tr w14:paraId="2B2AF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7A1E3390">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第十一条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伴随服务</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34E14FC9">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726358D5">
            <w:pPr>
              <w:rPr>
                <w:rFonts w:ascii="Times New Roman" w:hAnsi="Times New Roman"/>
                <w:color w:val="000000" w:themeColor="text1"/>
                <w:sz w:val="24"/>
                <w:szCs w:val="24"/>
                <w:highlight w:val="none"/>
                <w14:textFill>
                  <w14:solidFill>
                    <w14:schemeClr w14:val="tx1"/>
                  </w14:solidFill>
                </w14:textFill>
              </w:rPr>
            </w:pPr>
          </w:p>
        </w:tc>
      </w:tr>
      <w:tr w14:paraId="6FAA1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7E4F16E5">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第十二条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最终验收</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44CB5843">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6A820302">
            <w:pPr>
              <w:rPr>
                <w:rFonts w:ascii="Times New Roman" w:hAnsi="Times New Roman"/>
                <w:color w:val="000000" w:themeColor="text1"/>
                <w:sz w:val="24"/>
                <w:szCs w:val="24"/>
                <w:highlight w:val="none"/>
                <w14:textFill>
                  <w14:solidFill>
                    <w14:schemeClr w14:val="tx1"/>
                  </w14:solidFill>
                </w14:textFill>
              </w:rPr>
            </w:pPr>
          </w:p>
        </w:tc>
      </w:tr>
      <w:tr w14:paraId="10088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728FB6EC">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第十三条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售后服务</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4F517770">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4DDEDFDF">
            <w:pPr>
              <w:rPr>
                <w:rFonts w:ascii="Times New Roman" w:hAnsi="Times New Roman"/>
                <w:color w:val="000000" w:themeColor="text1"/>
                <w:sz w:val="24"/>
                <w:szCs w:val="24"/>
                <w:highlight w:val="none"/>
                <w14:textFill>
                  <w14:solidFill>
                    <w14:schemeClr w14:val="tx1"/>
                  </w14:solidFill>
                </w14:textFill>
              </w:rPr>
            </w:pPr>
          </w:p>
        </w:tc>
      </w:tr>
      <w:tr w14:paraId="50B4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1CED1C5E">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第十四条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违约责任</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209576A3">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3FFBA477">
            <w:pPr>
              <w:rPr>
                <w:rFonts w:ascii="Times New Roman" w:hAnsi="Times New Roman"/>
                <w:color w:val="000000" w:themeColor="text1"/>
                <w:sz w:val="24"/>
                <w:szCs w:val="24"/>
                <w:highlight w:val="none"/>
                <w14:textFill>
                  <w14:solidFill>
                    <w14:schemeClr w14:val="tx1"/>
                  </w14:solidFill>
                </w14:textFill>
              </w:rPr>
            </w:pPr>
          </w:p>
        </w:tc>
      </w:tr>
      <w:tr w14:paraId="778D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0953EA60">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第十五条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不可抗力</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2197731D">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72797F27">
            <w:pPr>
              <w:rPr>
                <w:rFonts w:ascii="Times New Roman" w:hAnsi="Times New Roman"/>
                <w:color w:val="000000" w:themeColor="text1"/>
                <w:sz w:val="24"/>
                <w:szCs w:val="24"/>
                <w:highlight w:val="none"/>
                <w14:textFill>
                  <w14:solidFill>
                    <w14:schemeClr w14:val="tx1"/>
                  </w14:solidFill>
                </w14:textFill>
              </w:rPr>
            </w:pPr>
          </w:p>
        </w:tc>
      </w:tr>
      <w:tr w14:paraId="65F72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7C6CDD02">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第十六条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合同的变更、中止</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3BDD2B8B">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31730ED0">
            <w:pPr>
              <w:rPr>
                <w:rFonts w:ascii="Times New Roman" w:hAnsi="Times New Roman"/>
                <w:color w:val="000000" w:themeColor="text1"/>
                <w:sz w:val="24"/>
                <w:szCs w:val="24"/>
                <w:highlight w:val="none"/>
                <w14:textFill>
                  <w14:solidFill>
                    <w14:schemeClr w14:val="tx1"/>
                  </w14:solidFill>
                </w14:textFill>
              </w:rPr>
            </w:pPr>
          </w:p>
        </w:tc>
      </w:tr>
      <w:tr w14:paraId="7B605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4CED5FAA">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第十七条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合同的终止</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2DD2DB4B">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464841F2">
            <w:pPr>
              <w:rPr>
                <w:rFonts w:ascii="Times New Roman" w:hAnsi="Times New Roman"/>
                <w:color w:val="000000" w:themeColor="text1"/>
                <w:sz w:val="24"/>
                <w:szCs w:val="24"/>
                <w:highlight w:val="none"/>
                <w14:textFill>
                  <w14:solidFill>
                    <w14:schemeClr w14:val="tx1"/>
                  </w14:solidFill>
                </w14:textFill>
              </w:rPr>
            </w:pPr>
          </w:p>
        </w:tc>
      </w:tr>
      <w:tr w14:paraId="5D92D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32883773">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第十八条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合同的转让</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42B6CFFF">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0E72E576">
            <w:pPr>
              <w:rPr>
                <w:rFonts w:ascii="Times New Roman" w:hAnsi="Times New Roman"/>
                <w:color w:val="000000" w:themeColor="text1"/>
                <w:sz w:val="24"/>
                <w:szCs w:val="24"/>
                <w:highlight w:val="none"/>
                <w14:textFill>
                  <w14:solidFill>
                    <w14:schemeClr w14:val="tx1"/>
                  </w14:solidFill>
                </w14:textFill>
              </w:rPr>
            </w:pPr>
          </w:p>
        </w:tc>
      </w:tr>
      <w:tr w14:paraId="78E83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79C84198">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第十九条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履约保证金</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0D15C7B6">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0B584BDE">
            <w:pPr>
              <w:rPr>
                <w:rFonts w:ascii="Times New Roman" w:hAnsi="Times New Roman"/>
                <w:color w:val="000000" w:themeColor="text1"/>
                <w:sz w:val="24"/>
                <w:szCs w:val="24"/>
                <w:highlight w:val="none"/>
                <w14:textFill>
                  <w14:solidFill>
                    <w14:schemeClr w14:val="tx1"/>
                  </w14:solidFill>
                </w14:textFill>
              </w:rPr>
            </w:pPr>
          </w:p>
        </w:tc>
      </w:tr>
      <w:tr w14:paraId="7CFE5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576DDFC6">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第二十条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争议解决方式</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45B5A01E">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018F9D34">
            <w:pPr>
              <w:rPr>
                <w:rFonts w:ascii="Times New Roman" w:hAnsi="Times New Roman"/>
                <w:color w:val="000000" w:themeColor="text1"/>
                <w:sz w:val="24"/>
                <w:szCs w:val="24"/>
                <w:highlight w:val="none"/>
                <w14:textFill>
                  <w14:solidFill>
                    <w14:schemeClr w14:val="tx1"/>
                  </w14:solidFill>
                </w14:textFill>
              </w:rPr>
            </w:pPr>
          </w:p>
        </w:tc>
      </w:tr>
      <w:tr w14:paraId="1C61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4150E956">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第二十一条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通知与送达</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136BE683">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2245A427">
            <w:pPr>
              <w:rPr>
                <w:rFonts w:ascii="Times New Roman" w:hAnsi="Times New Roman"/>
                <w:color w:val="000000" w:themeColor="text1"/>
                <w:sz w:val="24"/>
                <w:szCs w:val="24"/>
                <w:highlight w:val="none"/>
                <w14:textFill>
                  <w14:solidFill>
                    <w14:schemeClr w14:val="tx1"/>
                  </w14:solidFill>
                </w14:textFill>
              </w:rPr>
            </w:pPr>
          </w:p>
        </w:tc>
      </w:tr>
      <w:tr w14:paraId="62AC1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3777" w:type="dxa"/>
            <w:tcBorders>
              <w:top w:val="single" w:color="auto" w:sz="4" w:space="0"/>
              <w:left w:val="single" w:color="auto" w:sz="4" w:space="0"/>
              <w:bottom w:val="single" w:color="auto" w:sz="4" w:space="0"/>
              <w:right w:val="single" w:color="auto" w:sz="4" w:space="0"/>
            </w:tcBorders>
            <w:noWrap w:val="0"/>
            <w:vAlign w:val="center"/>
          </w:tcPr>
          <w:p w14:paraId="26955041">
            <w:pPr>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s="宋体"/>
                <w:color w:val="000000" w:themeColor="text1"/>
                <w:sz w:val="24"/>
                <w:szCs w:val="24"/>
                <w:highlight w:val="none"/>
                <w:lang w:bidi="ar"/>
                <w14:textFill>
                  <w14:solidFill>
                    <w14:schemeClr w14:val="tx1"/>
                  </w14:solidFill>
                </w14:textFill>
              </w:rPr>
              <w:t>第二十二条</w:t>
            </w:r>
            <w:r>
              <w:rPr>
                <w:rFonts w:hint="eastAsia" w:ascii="Times New Roman" w:hAnsi="Times New Roman"/>
                <w:color w:val="000000" w:themeColor="text1"/>
                <w:sz w:val="24"/>
                <w:szCs w:val="24"/>
                <w:highlight w:val="none"/>
                <w:lang w:bidi="ar"/>
                <w14:textFill>
                  <w14:solidFill>
                    <w14:schemeClr w14:val="tx1"/>
                  </w14:solidFill>
                </w14:textFill>
              </w:rPr>
              <w:t xml:space="preserve"> </w:t>
            </w:r>
            <w:r>
              <w:rPr>
                <w:rFonts w:hint="eastAsia" w:ascii="Times New Roman" w:hAnsi="Times New Roman" w:cs="宋体"/>
                <w:color w:val="000000" w:themeColor="text1"/>
                <w:sz w:val="24"/>
                <w:szCs w:val="24"/>
                <w:highlight w:val="none"/>
                <w:lang w:bidi="ar"/>
                <w14:textFill>
                  <w14:solidFill>
                    <w14:schemeClr w14:val="tx1"/>
                  </w14:solidFill>
                </w14:textFill>
              </w:rPr>
              <w:t>合同生效及其他</w:t>
            </w:r>
          </w:p>
        </w:tc>
        <w:tc>
          <w:tcPr>
            <w:tcW w:w="2308" w:type="dxa"/>
            <w:tcBorders>
              <w:top w:val="single" w:color="auto" w:sz="4" w:space="0"/>
              <w:left w:val="single" w:color="auto" w:sz="4" w:space="0"/>
              <w:bottom w:val="single" w:color="auto" w:sz="4" w:space="0"/>
              <w:right w:val="single" w:color="auto" w:sz="4" w:space="0"/>
            </w:tcBorders>
            <w:noWrap w:val="0"/>
            <w:vAlign w:val="center"/>
          </w:tcPr>
          <w:p w14:paraId="71D37A1C">
            <w:pPr>
              <w:rPr>
                <w:rFonts w:ascii="Times New Roman" w:hAnsi="Times New Roman"/>
                <w:color w:val="000000" w:themeColor="text1"/>
                <w:sz w:val="24"/>
                <w:szCs w:val="24"/>
                <w:highlight w:val="none"/>
                <w14:textFill>
                  <w14:solidFill>
                    <w14:schemeClr w14:val="tx1"/>
                  </w14:solidFill>
                </w14:textFill>
              </w:rPr>
            </w:pPr>
          </w:p>
        </w:tc>
        <w:tc>
          <w:tcPr>
            <w:tcW w:w="3229" w:type="dxa"/>
            <w:tcBorders>
              <w:top w:val="single" w:color="auto" w:sz="4" w:space="0"/>
              <w:left w:val="single" w:color="auto" w:sz="4" w:space="0"/>
              <w:bottom w:val="single" w:color="auto" w:sz="4" w:space="0"/>
              <w:right w:val="single" w:color="auto" w:sz="4" w:space="0"/>
            </w:tcBorders>
            <w:noWrap w:val="0"/>
            <w:vAlign w:val="center"/>
          </w:tcPr>
          <w:p w14:paraId="73B21786">
            <w:pPr>
              <w:rPr>
                <w:rFonts w:ascii="Times New Roman" w:hAnsi="Times New Roman"/>
                <w:color w:val="000000" w:themeColor="text1"/>
                <w:sz w:val="24"/>
                <w:szCs w:val="24"/>
                <w:highlight w:val="none"/>
                <w14:textFill>
                  <w14:solidFill>
                    <w14:schemeClr w14:val="tx1"/>
                  </w14:solidFill>
                </w14:textFill>
              </w:rPr>
            </w:pPr>
          </w:p>
        </w:tc>
      </w:tr>
    </w:tbl>
    <w:p w14:paraId="237E1813">
      <w:pPr>
        <w:spacing w:line="440" w:lineRule="exact"/>
        <w:ind w:firstLine="240"/>
        <w:rPr>
          <w:rFonts w:ascii="宋体" w:hAnsi="宋体"/>
          <w:color w:val="000000" w:themeColor="text1"/>
          <w:sz w:val="24"/>
          <w:highlight w:val="none"/>
          <w14:textFill>
            <w14:solidFill>
              <w14:schemeClr w14:val="tx1"/>
            </w14:solidFill>
          </w14:textFill>
        </w:rPr>
      </w:pPr>
    </w:p>
    <w:p w14:paraId="441A6F2F">
      <w:pPr>
        <w:spacing w:line="440" w:lineRule="exact"/>
        <w:ind w:firstLine="24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注：1、投标人应据实、详细填写上述表格，因表述含糊导致的评标风险将由投标人承担。</w:t>
      </w:r>
    </w:p>
    <w:p w14:paraId="069BF95C">
      <w:pPr>
        <w:spacing w:line="440" w:lineRule="exact"/>
        <w:ind w:firstLine="72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2、若无偏离，在“有无偏离”栏中填写“无”；若有偏离在“有无偏离”栏中填写“有”并在“偏离内容及原因”栏中作出说明。</w:t>
      </w:r>
    </w:p>
    <w:p w14:paraId="3D737336">
      <w:pPr>
        <w:ind w:firstLine="482"/>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p>
    <w:p w14:paraId="007EFD31">
      <w:pPr>
        <w:spacing w:line="440" w:lineRule="exact"/>
        <w:ind w:firstLine="56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478" w:name="_Toc20016"/>
      <w:bookmarkStart w:id="479" w:name="_Toc2748"/>
      <w:bookmarkStart w:id="480" w:name="_Toc2171"/>
      <w:bookmarkStart w:id="481" w:name="_Toc4082"/>
      <w:r>
        <w:rPr>
          <w:rFonts w:hint="eastAsia" w:ascii="Times New Roman" w:hAnsi="Times New Roman"/>
          <w:b/>
          <w:bCs/>
          <w:color w:val="000000" w:themeColor="text1"/>
          <w:sz w:val="28"/>
          <w:szCs w:val="28"/>
          <w:highlight w:val="none"/>
          <w14:textFill>
            <w14:solidFill>
              <w14:schemeClr w14:val="tx1"/>
            </w14:solidFill>
          </w14:textFill>
        </w:rPr>
        <w:t>附件8 其他</w:t>
      </w:r>
      <w:bookmarkEnd w:id="478"/>
      <w:bookmarkEnd w:id="479"/>
      <w:bookmarkEnd w:id="480"/>
      <w:bookmarkEnd w:id="481"/>
    </w:p>
    <w:p w14:paraId="46A5E43A">
      <w:pPr>
        <w:spacing w:line="400" w:lineRule="exact"/>
        <w:ind w:firstLine="480"/>
        <w:jc w:val="center"/>
        <w:rPr>
          <w:rFonts w:ascii="Times New Roman" w:hAnsi="Times New Roman"/>
          <w:color w:val="000000" w:themeColor="text1"/>
          <w:sz w:val="24"/>
          <w:szCs w:val="20"/>
          <w:highlight w:val="none"/>
          <w14:textFill>
            <w14:solidFill>
              <w14:schemeClr w14:val="tx1"/>
            </w14:solidFill>
          </w14:textFill>
        </w:rPr>
      </w:pPr>
      <w:r>
        <w:rPr>
          <w:rFonts w:hint="eastAsia" w:ascii="Times New Roman" w:hAnsi="Times New Roman"/>
          <w:color w:val="000000" w:themeColor="text1"/>
          <w:sz w:val="24"/>
          <w:szCs w:val="20"/>
          <w:highlight w:val="none"/>
          <w14:textFill>
            <w14:solidFill>
              <w14:schemeClr w14:val="tx1"/>
            </w14:solidFill>
          </w14:textFill>
        </w:rPr>
        <w:t>投标人根据 “第五章 ”提供相关其他证明材料。</w:t>
      </w:r>
    </w:p>
    <w:p w14:paraId="5ECF01A3">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482" w:name="_Toc7192"/>
      <w:bookmarkStart w:id="483" w:name="_Toc29358"/>
      <w:bookmarkStart w:id="484" w:name="_Toc24652"/>
      <w:bookmarkStart w:id="485" w:name="_Toc24429"/>
      <w:r>
        <w:rPr>
          <w:rFonts w:hint="eastAsia" w:ascii="Times New Roman" w:hAnsi="Times New Roman"/>
          <w:b/>
          <w:bCs/>
          <w:color w:val="000000" w:themeColor="text1"/>
          <w:sz w:val="28"/>
          <w:szCs w:val="28"/>
          <w:highlight w:val="none"/>
          <w14:textFill>
            <w14:solidFill>
              <w14:schemeClr w14:val="tx1"/>
            </w14:solidFill>
          </w14:textFill>
        </w:rPr>
        <w:t>附件9 具备履行合同所必需的设备和专业技术能力的书面声明</w:t>
      </w:r>
      <w:bookmarkEnd w:id="482"/>
      <w:bookmarkEnd w:id="483"/>
      <w:bookmarkEnd w:id="484"/>
      <w:bookmarkEnd w:id="485"/>
    </w:p>
    <w:p w14:paraId="4A4E994F">
      <w:pPr>
        <w:spacing w:line="46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我单位郑重声明：我单位具备履行本项采购合同所必需的设备和专业技术能力，为履行本项采购合同我公司具备如下主要人员和主要专业技术能力：</w:t>
      </w:r>
    </w:p>
    <w:p w14:paraId="0E172A9E">
      <w:pPr>
        <w:spacing w:line="46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主要设备有：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w:t>
      </w:r>
    </w:p>
    <w:p w14:paraId="1CC6163E">
      <w:pPr>
        <w:spacing w:line="460" w:lineRule="exact"/>
        <w:ind w:firstLine="480"/>
        <w:rPr>
          <w:rFonts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主要专业技术能力有：</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w:t>
      </w:r>
    </w:p>
    <w:p w14:paraId="5F497BC1">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bookmarkStart w:id="486" w:name="_Toc24479"/>
      <w:bookmarkStart w:id="487" w:name="_Toc22272"/>
      <w:bookmarkStart w:id="488" w:name="_Toc7928"/>
      <w:bookmarkStart w:id="489" w:name="_Toc31884"/>
      <w:r>
        <w:rPr>
          <w:rFonts w:hint="eastAsia" w:ascii="Times New Roman" w:hAnsi="Times New Roman"/>
          <w:b/>
          <w:bCs/>
          <w:color w:val="000000" w:themeColor="text1"/>
          <w:sz w:val="28"/>
          <w:szCs w:val="28"/>
          <w:highlight w:val="none"/>
          <w14:textFill>
            <w14:solidFill>
              <w14:schemeClr w14:val="tx1"/>
            </w14:solidFill>
          </w14:textFill>
        </w:rPr>
        <w:t>附件10</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参加政府采购活动前 3 年内在经营活动中没有重大违法记录的书面声明</w:t>
      </w:r>
      <w:bookmarkEnd w:id="486"/>
      <w:bookmarkEnd w:id="487"/>
      <w:bookmarkEnd w:id="488"/>
      <w:bookmarkEnd w:id="489"/>
    </w:p>
    <w:p w14:paraId="77C65879">
      <w:pPr>
        <w:spacing w:line="460" w:lineRule="exact"/>
        <w:ind w:firstLine="482"/>
        <w:jc w:val="center"/>
        <w:rPr>
          <w:rFonts w:ascii="宋体" w:hAnsi="宋体"/>
          <w:b/>
          <w:bCs/>
          <w:color w:val="000000" w:themeColor="text1"/>
          <w:sz w:val="24"/>
          <w:highlight w:val="none"/>
          <w14:textFill>
            <w14:solidFill>
              <w14:schemeClr w14:val="tx1"/>
            </w14:solidFill>
          </w14:textFill>
        </w:rPr>
      </w:pPr>
    </w:p>
    <w:p w14:paraId="34722EAF">
      <w:pPr>
        <w:spacing w:line="460" w:lineRule="exact"/>
        <w:ind w:firstLine="482"/>
        <w:jc w:val="center"/>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声  明</w:t>
      </w:r>
    </w:p>
    <w:p w14:paraId="4B2074F2">
      <w:pPr>
        <w:spacing w:line="460" w:lineRule="exact"/>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468D00AB">
      <w:pPr>
        <w:ind w:left="480" w:firstLine="482"/>
        <w:jc w:val="center"/>
        <w:rPr>
          <w:rFonts w:ascii="宋体" w:hAnsi="宋体"/>
          <w:b/>
          <w:color w:val="000000" w:themeColor="text1"/>
          <w:sz w:val="24"/>
          <w:highlight w:val="none"/>
          <w14:textFill>
            <w14:solidFill>
              <w14:schemeClr w14:val="tx1"/>
            </w14:solidFill>
          </w14:textFill>
        </w:rPr>
      </w:pPr>
    </w:p>
    <w:p w14:paraId="4FC711C1">
      <w:pPr>
        <w:spacing w:line="460" w:lineRule="exact"/>
        <w:ind w:firstLine="482"/>
        <w:rPr>
          <w:rFonts w:ascii="宋体" w:hAnsi="宋体"/>
          <w:bCs/>
          <w:color w:val="000000" w:themeColor="text1"/>
          <w:sz w:val="24"/>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br w:type="page" w:clear="all"/>
      </w:r>
    </w:p>
    <w:p w14:paraId="628223A7">
      <w:pPr>
        <w:spacing w:line="440" w:lineRule="exact"/>
        <w:ind w:firstLine="56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490" w:name="_Toc14397"/>
      <w:bookmarkStart w:id="491" w:name="_Toc31678"/>
      <w:bookmarkStart w:id="492" w:name="_Toc16337"/>
      <w:bookmarkStart w:id="493" w:name="_Toc1644"/>
      <w:r>
        <w:rPr>
          <w:rFonts w:hint="eastAsia" w:ascii="Times New Roman" w:hAnsi="Times New Roman"/>
          <w:b/>
          <w:bCs/>
          <w:color w:val="000000" w:themeColor="text1"/>
          <w:sz w:val="28"/>
          <w:szCs w:val="28"/>
          <w:highlight w:val="none"/>
          <w14:textFill>
            <w14:solidFill>
              <w14:schemeClr w14:val="tx1"/>
            </w14:solidFill>
          </w14:textFill>
        </w:rPr>
        <w:t>附件11</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法人授权书</w:t>
      </w:r>
      <w:bookmarkEnd w:id="490"/>
      <w:bookmarkEnd w:id="491"/>
      <w:bookmarkEnd w:id="492"/>
      <w:bookmarkEnd w:id="493"/>
    </w:p>
    <w:p w14:paraId="7C9E04CF">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本授权书声明：____________（投标人名称）授权________________（被授权人的姓名）为我方就</w:t>
      </w:r>
      <w:r>
        <w:rPr>
          <w:rFonts w:hint="eastAsia" w:ascii="Times New Roman" w:hAnsi="Times New Roman"/>
          <w:color w:val="000000" w:themeColor="text1"/>
          <w:sz w:val="24"/>
          <w:szCs w:val="24"/>
          <w:highlight w:val="none"/>
          <w:lang w:eastAsia="zh-CN"/>
          <w14:textFill>
            <w14:solidFill>
              <w14:schemeClr w14:val="tx1"/>
            </w14:solidFill>
          </w14:textFill>
        </w:rPr>
        <w:t>JSZC-320581-SZXY-G2025-0056</w:t>
      </w:r>
      <w:r>
        <w:rPr>
          <w:rFonts w:ascii="Times New Roman" w:hAnsi="Times New Roman"/>
          <w:color w:val="000000" w:themeColor="text1"/>
          <w:sz w:val="24"/>
          <w:szCs w:val="24"/>
          <w:highlight w:val="none"/>
          <w14:textFill>
            <w14:solidFill>
              <w14:schemeClr w14:val="tx1"/>
            </w14:solidFill>
          </w14:textFill>
        </w:rPr>
        <w:t>号项目采购活动的合法代理人，以本单位名义全权处理一切与该项目采购有关的事务。</w:t>
      </w:r>
    </w:p>
    <w:p w14:paraId="34235352">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本授权书于</w:t>
      </w:r>
      <w:r>
        <w:rPr>
          <w:rFonts w:hint="eastAsia" w:ascii="Times New Roman" w:hAnsi="Times New Roman"/>
          <w:color w:val="000000" w:themeColor="text1"/>
          <w:sz w:val="24"/>
          <w:szCs w:val="24"/>
          <w:highlight w:val="none"/>
          <w:u w:val="single"/>
          <w14:textFill>
            <w14:solidFill>
              <w14:schemeClr w14:val="tx1"/>
            </w14:solidFill>
          </w14:textFill>
        </w:rPr>
        <w:t xml:space="preserve">   </w:t>
      </w:r>
      <w:r>
        <w:rPr>
          <w:rFonts w:ascii="Times New Roman" w:hAnsi="Times New Roman"/>
          <w:color w:val="000000" w:themeColor="text1"/>
          <w:sz w:val="24"/>
          <w:szCs w:val="24"/>
          <w:highlight w:val="none"/>
          <w:u w:val="single"/>
          <w14:textFill>
            <w14:solidFill>
              <w14:schemeClr w14:val="tx1"/>
            </w14:solidFill>
          </w14:textFill>
        </w:rPr>
        <w:t xml:space="preserve"> </w:t>
      </w:r>
      <w:r>
        <w:rPr>
          <w:rFonts w:ascii="Times New Roman" w:hAnsi="Times New Roman"/>
          <w:color w:val="000000" w:themeColor="text1"/>
          <w:sz w:val="24"/>
          <w:szCs w:val="24"/>
          <w:highlight w:val="none"/>
          <w14:textFill>
            <w14:solidFill>
              <w14:schemeClr w14:val="tx1"/>
            </w14:solidFill>
          </w14:textFill>
        </w:rPr>
        <w:t>年____月____日起生效，特此声明。</w:t>
      </w:r>
    </w:p>
    <w:p w14:paraId="7FA4F6CD">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p>
    <w:p w14:paraId="7B5ECD0F">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p>
    <w:p w14:paraId="14F39A4B">
      <w:pPr>
        <w:tabs>
          <w:tab w:val="left" w:pos="360"/>
        </w:tabs>
        <w:spacing w:line="440" w:lineRule="exact"/>
        <w:ind w:firstLine="480"/>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被授权人身份证号码：</w:t>
      </w:r>
      <w:r>
        <w:rPr>
          <w:rFonts w:ascii="Times New Roman" w:hAnsi="Times New Roman"/>
          <w:color w:val="000000" w:themeColor="text1"/>
          <w:sz w:val="24"/>
          <w:szCs w:val="24"/>
          <w:highlight w:val="none"/>
          <w:u w:val="single"/>
          <w14:textFill>
            <w14:solidFill>
              <w14:schemeClr w14:val="tx1"/>
            </w14:solidFill>
          </w14:textFill>
        </w:rPr>
        <w:t xml:space="preserve">                              </w:t>
      </w:r>
    </w:p>
    <w:p w14:paraId="261EE992">
      <w:pPr>
        <w:tabs>
          <w:tab w:val="left" w:pos="360"/>
        </w:tabs>
        <w:spacing w:line="440" w:lineRule="exact"/>
        <w:ind w:firstLine="480"/>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被授权人联系电话：（手机）</w:t>
      </w:r>
      <w:r>
        <w:rPr>
          <w:rFonts w:ascii="Times New Roman" w:hAnsi="Times New Roman"/>
          <w:color w:val="000000" w:themeColor="text1"/>
          <w:sz w:val="24"/>
          <w:szCs w:val="24"/>
          <w:highlight w:val="none"/>
          <w:u w:val="single"/>
          <w14:textFill>
            <w14:solidFill>
              <w14:schemeClr w14:val="tx1"/>
            </w14:solidFill>
          </w14:textFill>
        </w:rPr>
        <w:t xml:space="preserve">                          </w:t>
      </w:r>
    </w:p>
    <w:p w14:paraId="430A2B6C">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授权单位名称：</w:t>
      </w:r>
      <w:r>
        <w:rPr>
          <w:rFonts w:ascii="Times New Roman" w:hAnsi="Times New Roman"/>
          <w:color w:val="000000" w:themeColor="text1"/>
          <w:sz w:val="24"/>
          <w:szCs w:val="24"/>
          <w:highlight w:val="none"/>
          <w:u w:val="single"/>
          <w14:textFill>
            <w14:solidFill>
              <w14:schemeClr w14:val="tx1"/>
            </w14:solidFill>
          </w14:textFill>
        </w:rPr>
        <w:t>（加盖CA电子公章）</w:t>
      </w:r>
    </w:p>
    <w:p w14:paraId="5120105D">
      <w:pPr>
        <w:tabs>
          <w:tab w:val="left" w:pos="360"/>
        </w:tabs>
        <w:spacing w:line="440" w:lineRule="exact"/>
        <w:ind w:firstLine="480"/>
        <w:rPr>
          <w:rFonts w:ascii="Times New Roman" w:hAnsi="Times New Roman"/>
          <w:color w:val="000000" w:themeColor="text1"/>
          <w:sz w:val="24"/>
          <w:szCs w:val="24"/>
          <w:highlight w:val="none"/>
          <w:u w:val="singl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单位地址：</w:t>
      </w:r>
      <w:r>
        <w:rPr>
          <w:rFonts w:ascii="Times New Roman" w:hAnsi="Times New Roman"/>
          <w:color w:val="000000" w:themeColor="text1"/>
          <w:sz w:val="24"/>
          <w:szCs w:val="24"/>
          <w:highlight w:val="none"/>
          <w:u w:val="single"/>
          <w14:textFill>
            <w14:solidFill>
              <w14:schemeClr w14:val="tx1"/>
            </w14:solidFill>
          </w14:textFill>
        </w:rPr>
        <w:t xml:space="preserve">                                         </w:t>
      </w:r>
    </w:p>
    <w:p w14:paraId="46BA4BE8">
      <w:pPr>
        <w:tabs>
          <w:tab w:val="left" w:pos="360"/>
        </w:tabs>
        <w:spacing w:line="440" w:lineRule="exact"/>
        <w:ind w:firstLine="480"/>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t>日期：</w:t>
      </w:r>
      <w:r>
        <w:rPr>
          <w:rFonts w:ascii="Times New Roman" w:hAnsi="Times New Roman"/>
          <w:color w:val="000000" w:themeColor="text1"/>
          <w:sz w:val="24"/>
          <w:szCs w:val="24"/>
          <w:highlight w:val="none"/>
          <w:u w:val="single"/>
          <w14:textFill>
            <w14:solidFill>
              <w14:schemeClr w14:val="tx1"/>
            </w14:solidFill>
          </w14:textFill>
        </w:rPr>
        <w:t xml:space="preserve">                                         </w:t>
      </w:r>
    </w:p>
    <w:p w14:paraId="55093B4E">
      <w:pPr>
        <w:spacing w:line="400" w:lineRule="exact"/>
        <w:ind w:firstLine="480"/>
        <w:rPr>
          <w:rFonts w:ascii="楷体" w:hAnsi="楷体" w:eastAsia="楷体"/>
          <w:color w:val="000000" w:themeColor="text1"/>
          <w:sz w:val="24"/>
          <w:szCs w:val="24"/>
          <w:highlight w:val="none"/>
          <w14:textFill>
            <w14:solidFill>
              <w14:schemeClr w14:val="tx1"/>
            </w14:solidFill>
          </w14:textFill>
        </w:rPr>
      </w:pPr>
    </w:p>
    <w:p w14:paraId="6938F8F9">
      <w:pPr>
        <w:spacing w:line="400" w:lineRule="exact"/>
        <w:ind w:firstLine="480"/>
        <w:rPr>
          <w:rFonts w:ascii="Times New Roman" w:hAnsi="Times New Roman"/>
          <w:b/>
          <w:bCs/>
          <w:color w:val="000000" w:themeColor="text1"/>
          <w:sz w:val="24"/>
          <w:szCs w:val="24"/>
          <w:highlight w:val="none"/>
          <w14:textFill>
            <w14:solidFill>
              <w14:schemeClr w14:val="tx1"/>
            </w14:solidFill>
          </w14:textFill>
        </w:rPr>
      </w:pPr>
      <w:r>
        <w:rPr>
          <w:rFonts w:hint="eastAsia" w:ascii="Times New Roman" w:hAnsi="Times New Roman"/>
          <w:b/>
          <w:bCs/>
          <w:color w:val="000000" w:themeColor="text1"/>
          <w:sz w:val="24"/>
          <w:szCs w:val="24"/>
          <w:highlight w:val="none"/>
          <w14:textFill>
            <w14:solidFill>
              <w14:schemeClr w14:val="tx1"/>
            </w14:solidFill>
          </w14:textFill>
        </w:rPr>
        <w:t>注：</w:t>
      </w:r>
      <w:r>
        <w:rPr>
          <w:rFonts w:ascii="宋体" w:hAnsi="宋体"/>
          <w:b/>
          <w:color w:val="000000" w:themeColor="text1"/>
          <w:sz w:val="24"/>
          <w:highlight w:val="none"/>
          <w14:textFill>
            <w14:solidFill>
              <w14:schemeClr w14:val="tx1"/>
            </w14:solidFill>
          </w14:textFill>
        </w:rPr>
        <w:t>①</w:t>
      </w:r>
      <w:r>
        <w:rPr>
          <w:rFonts w:hint="eastAsia" w:ascii="宋体" w:hAnsi="宋体"/>
          <w:b/>
          <w:color w:val="000000" w:themeColor="text1"/>
          <w:sz w:val="24"/>
          <w:highlight w:val="none"/>
          <w14:textFill>
            <w14:solidFill>
              <w14:schemeClr w14:val="tx1"/>
            </w14:solidFill>
          </w14:textFill>
        </w:rPr>
        <w:t>如授权代表参加本项目投报，“法人授权书”必须提供，且须提供</w:t>
      </w:r>
      <w:r>
        <w:rPr>
          <w:rFonts w:ascii="Times New Roman" w:hAnsi="Times New Roman"/>
          <w:b/>
          <w:color w:val="000000" w:themeColor="text1"/>
          <w:sz w:val="24"/>
          <w:szCs w:val="24"/>
          <w:highlight w:val="none"/>
          <w14:textFill>
            <w14:solidFill>
              <w14:schemeClr w14:val="tx1"/>
            </w14:solidFill>
          </w14:textFill>
        </w:rPr>
        <w:t>被授权人</w:t>
      </w:r>
      <w:r>
        <w:rPr>
          <w:rFonts w:hint="eastAsia" w:ascii="宋体" w:hAnsi="宋体"/>
          <w:b/>
          <w:color w:val="000000" w:themeColor="text1"/>
          <w:sz w:val="24"/>
          <w:highlight w:val="none"/>
          <w14:textFill>
            <w14:solidFill>
              <w14:schemeClr w14:val="tx1"/>
            </w14:solidFill>
          </w14:textFill>
        </w:rPr>
        <w:t>居民身份证正反面扫描件、法定代表人居民身份证正反面扫描件。②如法定代表人参加本项目投报，“法人授权书”可不提供，但须提供法定代表人身份证正反面扫描件。</w:t>
      </w:r>
      <w:r>
        <w:rPr>
          <w:rFonts w:hint="eastAsia" w:ascii="Times New Roman" w:hAnsi="Times New Roman"/>
          <w:b/>
          <w:bCs/>
          <w:color w:val="000000" w:themeColor="text1"/>
          <w:sz w:val="24"/>
          <w:szCs w:val="24"/>
          <w:highlight w:val="none"/>
          <w14:textFill>
            <w14:solidFill>
              <w14:schemeClr w14:val="tx1"/>
            </w14:solidFill>
          </w14:textFill>
        </w:rPr>
        <w:t>。</w:t>
      </w:r>
    </w:p>
    <w:p w14:paraId="7F23EDCE">
      <w:pPr>
        <w:spacing w:line="440" w:lineRule="exact"/>
        <w:ind w:firstLine="482"/>
        <w:jc w:val="center"/>
        <w:outlineLvl w:val="1"/>
        <w:rPr>
          <w:rFonts w:ascii="Times New Roman" w:hAnsi="Times New Roman"/>
          <w:b/>
          <w:bCs/>
          <w:color w:val="000000" w:themeColor="text1"/>
          <w:sz w:val="28"/>
          <w:szCs w:val="28"/>
          <w:highlight w:val="none"/>
          <w14:textFill>
            <w14:solidFill>
              <w14:schemeClr w14:val="tx1"/>
            </w14:solidFill>
          </w14:textFill>
        </w:rPr>
      </w:pPr>
      <w:r>
        <w:rPr>
          <w:rFonts w:ascii="宋体" w:hAnsi="宋体" w:eastAsia="幼圆" w:cs="Arial"/>
          <w:b/>
          <w:color w:val="000000" w:themeColor="text1"/>
          <w:sz w:val="24"/>
          <w:szCs w:val="44"/>
          <w:highlight w:val="none"/>
          <w14:textFill>
            <w14:solidFill>
              <w14:schemeClr w14:val="tx1"/>
            </w14:solidFill>
          </w14:textFill>
        </w:rPr>
        <w:br w:type="page" w:clear="all"/>
      </w:r>
      <w:bookmarkStart w:id="494" w:name="_Toc10513"/>
      <w:bookmarkStart w:id="495" w:name="_Toc10796"/>
      <w:bookmarkStart w:id="496" w:name="_Toc4017"/>
      <w:bookmarkStart w:id="497" w:name="_Toc31039"/>
      <w:r>
        <w:rPr>
          <w:rFonts w:hint="eastAsia" w:ascii="Times New Roman" w:hAnsi="Times New Roman"/>
          <w:b/>
          <w:bCs/>
          <w:color w:val="000000" w:themeColor="text1"/>
          <w:sz w:val="28"/>
          <w:szCs w:val="28"/>
          <w:highlight w:val="none"/>
          <w14:textFill>
            <w14:solidFill>
              <w14:schemeClr w14:val="tx1"/>
            </w14:solidFill>
          </w14:textFill>
        </w:rPr>
        <w:t>附件12 中小企业声明函</w:t>
      </w:r>
      <w:bookmarkEnd w:id="494"/>
      <w:bookmarkEnd w:id="495"/>
      <w:bookmarkEnd w:id="496"/>
      <w:bookmarkEnd w:id="497"/>
    </w:p>
    <w:p w14:paraId="638C3D5E">
      <w:pPr>
        <w:spacing w:line="440" w:lineRule="exact"/>
        <w:ind w:firstLine="480"/>
        <w:rPr>
          <w:rFonts w:ascii="宋体" w:hAnsi="宋体" w:cs="仿宋"/>
          <w:color w:val="000000" w:themeColor="text1"/>
          <w:sz w:val="24"/>
          <w:szCs w:val="24"/>
          <w:highlight w:val="none"/>
          <w14:textFill>
            <w14:solidFill>
              <w14:schemeClr w14:val="tx1"/>
            </w14:solidFill>
          </w14:textFill>
        </w:rPr>
      </w:pPr>
      <w:bookmarkStart w:id="498" w:name="_Hlk100143292"/>
      <w:r>
        <w:rPr>
          <w:rFonts w:hint="eastAsia" w:ascii="宋体" w:hAnsi="宋体" w:cs="仿宋"/>
          <w:color w:val="000000" w:themeColor="text1"/>
          <w:sz w:val="24"/>
          <w:szCs w:val="24"/>
          <w:highlight w:val="none"/>
          <w:lang w:bidi="ar"/>
          <w14:textFill>
            <w14:solidFill>
              <w14:schemeClr w14:val="tx1"/>
            </w14:solidFill>
          </w14:textFill>
        </w:rPr>
        <w:t>本公司（联合体）郑重声明，根据《政府采购促进中小企业发展管理办法》（财库</w:t>
      </w:r>
      <w:r>
        <w:rPr>
          <w:rFonts w:hint="eastAsia" w:ascii="宋体" w:hAnsi="宋体" w:cs="宋体"/>
          <w:color w:val="000000" w:themeColor="text1"/>
          <w:sz w:val="24"/>
          <w:szCs w:val="24"/>
          <w:highlight w:val="none"/>
          <w:lang w:bidi="ar"/>
          <w14:textFill>
            <w14:solidFill>
              <w14:schemeClr w14:val="tx1"/>
            </w14:solidFill>
          </w14:textFill>
        </w:rPr>
        <w:t>﹝</w:t>
      </w:r>
      <w:r>
        <w:rPr>
          <w:rFonts w:hint="eastAsia" w:ascii="宋体" w:hAnsi="宋体" w:cs="仿宋"/>
          <w:color w:val="000000" w:themeColor="text1"/>
          <w:sz w:val="24"/>
          <w:szCs w:val="24"/>
          <w:highlight w:val="none"/>
          <w:lang w:bidi="ar"/>
          <w14:textFill>
            <w14:solidFill>
              <w14:schemeClr w14:val="tx1"/>
            </w14:solidFill>
          </w14:textFill>
        </w:rPr>
        <w:t>2020</w:t>
      </w:r>
      <w:r>
        <w:rPr>
          <w:rFonts w:hint="eastAsia" w:ascii="宋体" w:hAnsi="宋体" w:cs="宋体"/>
          <w:color w:val="000000" w:themeColor="text1"/>
          <w:sz w:val="24"/>
          <w:szCs w:val="24"/>
          <w:highlight w:val="none"/>
          <w:lang w:bidi="ar"/>
          <w14:textFill>
            <w14:solidFill>
              <w14:schemeClr w14:val="tx1"/>
            </w14:solidFill>
          </w14:textFill>
        </w:rPr>
        <w:t>﹞</w:t>
      </w:r>
      <w:r>
        <w:rPr>
          <w:rFonts w:hint="eastAsia" w:ascii="宋体" w:hAnsi="宋体" w:cs="仿宋"/>
          <w:color w:val="000000" w:themeColor="text1"/>
          <w:sz w:val="24"/>
          <w:szCs w:val="24"/>
          <w:highlight w:val="none"/>
          <w:lang w:bidi="ar"/>
          <w14:textFill>
            <w14:solidFill>
              <w14:schemeClr w14:val="tx1"/>
            </w14:solidFill>
          </w14:textFill>
        </w:rPr>
        <w:t>46 号）的规定，本公司（联合体）参加</w:t>
      </w:r>
      <w:r>
        <w:rPr>
          <w:rFonts w:hint="eastAsia" w:ascii="宋体" w:hAnsi="宋体" w:cs="仿宋"/>
          <w:color w:val="000000" w:themeColor="text1"/>
          <w:sz w:val="24"/>
          <w:szCs w:val="24"/>
          <w:highlight w:val="none"/>
          <w:u w:val="single"/>
          <w:lang w:bidi="ar"/>
          <w14:textFill>
            <w14:solidFill>
              <w14:schemeClr w14:val="tx1"/>
            </w14:solidFill>
          </w14:textFill>
        </w:rPr>
        <w:t>（单位名称）</w:t>
      </w:r>
      <w:r>
        <w:rPr>
          <w:rFonts w:hint="eastAsia" w:ascii="宋体" w:hAnsi="宋体" w:cs="仿宋"/>
          <w:color w:val="000000" w:themeColor="text1"/>
          <w:sz w:val="24"/>
          <w:szCs w:val="24"/>
          <w:highlight w:val="none"/>
          <w:lang w:bidi="ar"/>
          <w14:textFill>
            <w14:solidFill>
              <w14:schemeClr w14:val="tx1"/>
            </w14:solidFill>
          </w14:textFill>
        </w:rPr>
        <w:t>的</w:t>
      </w:r>
      <w:r>
        <w:rPr>
          <w:rFonts w:hint="eastAsia" w:ascii="宋体" w:hAnsi="宋体" w:cs="仿宋"/>
          <w:color w:val="000000" w:themeColor="text1"/>
          <w:sz w:val="24"/>
          <w:szCs w:val="24"/>
          <w:highlight w:val="none"/>
          <w:u w:val="single"/>
          <w:lang w:bidi="ar"/>
          <w14:textFill>
            <w14:solidFill>
              <w14:schemeClr w14:val="tx1"/>
            </w14:solidFill>
          </w14:textFill>
        </w:rPr>
        <w:t>（项目名称）</w:t>
      </w:r>
      <w:r>
        <w:rPr>
          <w:rFonts w:hint="eastAsia" w:ascii="宋体" w:hAnsi="宋体" w:cs="仿宋"/>
          <w:color w:val="000000" w:themeColor="text1"/>
          <w:sz w:val="24"/>
          <w:szCs w:val="24"/>
          <w:highlight w:val="none"/>
          <w:lang w:bidi="ar"/>
          <w14:textFill>
            <w14:solidFill>
              <w14:schemeClr w14:val="tx1"/>
            </w14:solidFill>
          </w14:textFill>
        </w:rPr>
        <w:t>采购活动，提供的货物全部（货物清单中带△货物）由符合政策要求的中小企业制造。相关企业（含联合体中的中小企业、签订分包意向协议的中小企业）的具体情况如下：</w:t>
      </w:r>
    </w:p>
    <w:p w14:paraId="5DBC70F0">
      <w:pPr>
        <w:numPr>
          <w:ilvl w:val="0"/>
          <w:numId w:val="7"/>
        </w:numPr>
        <w:spacing w:line="440" w:lineRule="exact"/>
        <w:ind w:firstLine="480"/>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雷达水位计</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3E2A1430">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2.</w:t>
      </w:r>
      <w:r>
        <w:rPr>
          <w:rFonts w:hint="eastAsia" w:ascii="宋体" w:hAnsi="宋体" w:cs="仿宋"/>
          <w:color w:val="000000" w:themeColor="text1"/>
          <w:sz w:val="24"/>
          <w:szCs w:val="24"/>
          <w:highlight w:val="none"/>
          <w:u w:val="single"/>
          <w:lang w:bidi="ar"/>
          <w14:textFill>
            <w14:solidFill>
              <w14:schemeClr w14:val="tx1"/>
            </w14:solidFill>
          </w14:textFill>
        </w:rPr>
        <w:t>智能雨量测量仪</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1DEA0DA">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3.</w:t>
      </w:r>
      <w:r>
        <w:rPr>
          <w:rFonts w:hint="eastAsia" w:ascii="宋体" w:hAnsi="宋体" w:cs="仿宋"/>
          <w:color w:val="000000" w:themeColor="text1"/>
          <w:sz w:val="24"/>
          <w:szCs w:val="24"/>
          <w:highlight w:val="none"/>
          <w:u w:val="single"/>
          <w:lang w:bidi="ar"/>
          <w14:textFill>
            <w14:solidFill>
              <w14:schemeClr w14:val="tx1"/>
            </w14:solidFill>
          </w14:textFill>
        </w:rPr>
        <w:t>RTU</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1139E7BA">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4.</w:t>
      </w:r>
      <w:r>
        <w:rPr>
          <w:rFonts w:hint="eastAsia" w:ascii="宋体" w:hAnsi="宋体" w:cs="仿宋"/>
          <w:color w:val="000000" w:themeColor="text1"/>
          <w:sz w:val="24"/>
          <w:szCs w:val="24"/>
          <w:highlight w:val="none"/>
          <w:u w:val="single"/>
          <w:lang w:bidi="ar"/>
          <w14:textFill>
            <w14:solidFill>
              <w14:schemeClr w14:val="tx1"/>
            </w14:solidFill>
          </w14:textFill>
        </w:rPr>
        <w:t>蓄电池</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80DEDE0">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5.</w:t>
      </w:r>
      <w:r>
        <w:rPr>
          <w:rFonts w:hint="eastAsia" w:ascii="宋体" w:hAnsi="宋体" w:cs="仿宋"/>
          <w:color w:val="000000" w:themeColor="text1"/>
          <w:sz w:val="24"/>
          <w:szCs w:val="24"/>
          <w:highlight w:val="none"/>
          <w:u w:val="single"/>
          <w:lang w:bidi="ar"/>
          <w14:textFill>
            <w14:solidFill>
              <w14:schemeClr w14:val="tx1"/>
            </w14:solidFill>
          </w14:textFill>
        </w:rPr>
        <w:t>充电控制器</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14E4861C">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6.</w:t>
      </w:r>
      <w:r>
        <w:rPr>
          <w:rFonts w:hint="eastAsia" w:ascii="宋体" w:hAnsi="宋体" w:cs="仿宋"/>
          <w:color w:val="000000" w:themeColor="text1"/>
          <w:sz w:val="24"/>
          <w:szCs w:val="24"/>
          <w:highlight w:val="none"/>
          <w:u w:val="single"/>
          <w:lang w:bidi="ar"/>
          <w14:textFill>
            <w14:solidFill>
              <w14:schemeClr w14:val="tx1"/>
            </w14:solidFill>
          </w14:textFill>
        </w:rPr>
        <w:t>太阳能板</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EE7B146">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7.</w:t>
      </w:r>
      <w:r>
        <w:rPr>
          <w:rFonts w:hint="eastAsia" w:ascii="宋体" w:hAnsi="宋体" w:cs="仿宋"/>
          <w:color w:val="000000" w:themeColor="text1"/>
          <w:sz w:val="24"/>
          <w:szCs w:val="24"/>
          <w:highlight w:val="none"/>
          <w:u w:val="single"/>
          <w:lang w:bidi="ar"/>
          <w14:textFill>
            <w14:solidFill>
              <w14:schemeClr w14:val="tx1"/>
            </w14:solidFill>
          </w14:textFill>
        </w:rPr>
        <w:t>设备箱</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63DA361D">
      <w:pPr>
        <w:spacing w:line="440" w:lineRule="exact"/>
        <w:ind w:firstLine="480"/>
        <w:rPr>
          <w:rFonts w:ascii="宋体" w:hAnsi="宋体" w:cs="仿宋"/>
          <w:color w:val="000000" w:themeColor="text1"/>
          <w:sz w:val="24"/>
          <w:szCs w:val="24"/>
          <w:highlight w:val="none"/>
          <w:lang w:bidi="ar"/>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8.</w:t>
      </w:r>
      <w:r>
        <w:rPr>
          <w:rFonts w:hint="eastAsia" w:ascii="宋体" w:hAnsi="宋体" w:cs="仿宋"/>
          <w:color w:val="000000" w:themeColor="text1"/>
          <w:sz w:val="24"/>
          <w:szCs w:val="24"/>
          <w:highlight w:val="none"/>
          <w:u w:val="single"/>
          <w:lang w:bidi="ar"/>
          <w14:textFill>
            <w14:solidFill>
              <w14:schemeClr w14:val="tx1"/>
            </w14:solidFill>
          </w14:textFill>
        </w:rPr>
        <w:t>水尺</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476A0572">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9.</w:t>
      </w:r>
      <w:r>
        <w:rPr>
          <w:rFonts w:hint="eastAsia" w:ascii="宋体" w:hAnsi="宋体" w:cs="仿宋"/>
          <w:color w:val="000000" w:themeColor="text1"/>
          <w:sz w:val="24"/>
          <w:szCs w:val="24"/>
          <w:highlight w:val="none"/>
          <w:u w:val="single"/>
          <w:lang w:bidi="ar"/>
          <w14:textFill>
            <w14:solidFill>
              <w14:schemeClr w14:val="tx1"/>
            </w14:solidFill>
          </w14:textFill>
        </w:rPr>
        <w:t>H-ADCP</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D57F878">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10.</w:t>
      </w:r>
      <w:r>
        <w:rPr>
          <w:rFonts w:hint="eastAsia" w:ascii="宋体" w:hAnsi="宋体" w:cs="仿宋"/>
          <w:color w:val="000000" w:themeColor="text1"/>
          <w:sz w:val="24"/>
          <w:szCs w:val="24"/>
          <w:highlight w:val="none"/>
          <w:u w:val="single"/>
          <w:lang w:bidi="ar"/>
          <w14:textFill>
            <w14:solidFill>
              <w14:schemeClr w14:val="tx1"/>
            </w14:solidFill>
          </w14:textFill>
        </w:rPr>
        <w:t>雷达水位计</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19A2CF20">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11.</w:t>
      </w:r>
      <w:r>
        <w:rPr>
          <w:rFonts w:hint="eastAsia" w:ascii="宋体" w:hAnsi="宋体" w:cs="仿宋"/>
          <w:color w:val="000000" w:themeColor="text1"/>
          <w:sz w:val="24"/>
          <w:szCs w:val="24"/>
          <w:highlight w:val="none"/>
          <w:u w:val="single"/>
          <w:lang w:bidi="ar"/>
          <w14:textFill>
            <w14:solidFill>
              <w14:schemeClr w14:val="tx1"/>
            </w14:solidFill>
          </w14:textFill>
        </w:rPr>
        <w:t>遥测终端机</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36265734">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12.</w:t>
      </w:r>
      <w:r>
        <w:rPr>
          <w:rFonts w:hint="eastAsia" w:ascii="宋体" w:hAnsi="宋体" w:cs="仿宋"/>
          <w:color w:val="000000" w:themeColor="text1"/>
          <w:sz w:val="24"/>
          <w:szCs w:val="24"/>
          <w:highlight w:val="none"/>
          <w:u w:val="single"/>
          <w:lang w:bidi="ar"/>
          <w14:textFill>
            <w14:solidFill>
              <w14:schemeClr w14:val="tx1"/>
            </w14:solidFill>
          </w14:textFill>
        </w:rPr>
        <w:t>蓄电池</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694A670F">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13.</w:t>
      </w:r>
      <w:r>
        <w:rPr>
          <w:rFonts w:hint="eastAsia" w:ascii="宋体" w:hAnsi="宋体" w:cs="仿宋"/>
          <w:color w:val="000000" w:themeColor="text1"/>
          <w:sz w:val="24"/>
          <w:szCs w:val="24"/>
          <w:highlight w:val="none"/>
          <w:u w:val="single"/>
          <w:lang w:bidi="ar"/>
          <w14:textFill>
            <w14:solidFill>
              <w14:schemeClr w14:val="tx1"/>
            </w14:solidFill>
          </w14:textFill>
        </w:rPr>
        <w:t>太阳能板</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77650233">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14.</w:t>
      </w:r>
      <w:r>
        <w:rPr>
          <w:rFonts w:hint="eastAsia" w:ascii="宋体" w:hAnsi="宋体" w:cs="仿宋"/>
          <w:color w:val="000000" w:themeColor="text1"/>
          <w:sz w:val="24"/>
          <w:szCs w:val="24"/>
          <w:highlight w:val="none"/>
          <w:u w:val="single"/>
          <w:lang w:bidi="ar"/>
          <w14:textFill>
            <w14:solidFill>
              <w14:schemeClr w14:val="tx1"/>
            </w14:solidFill>
          </w14:textFill>
        </w:rPr>
        <w:t>充电控制器</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2E761092">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15.</w:t>
      </w:r>
      <w:r>
        <w:rPr>
          <w:rFonts w:hint="eastAsia" w:ascii="宋体" w:hAnsi="宋体" w:cs="仿宋"/>
          <w:color w:val="000000" w:themeColor="text1"/>
          <w:sz w:val="24"/>
          <w:szCs w:val="24"/>
          <w:highlight w:val="none"/>
          <w:u w:val="single"/>
          <w:lang w:bidi="ar"/>
          <w14:textFill>
            <w14:solidFill>
              <w14:schemeClr w14:val="tx1"/>
            </w14:solidFill>
          </w14:textFill>
        </w:rPr>
        <w:t>设备箱</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68492C4">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16.</w:t>
      </w:r>
      <w:r>
        <w:rPr>
          <w:rFonts w:hint="eastAsia" w:ascii="宋体" w:hAnsi="宋体" w:cs="仿宋"/>
          <w:color w:val="000000" w:themeColor="text1"/>
          <w:sz w:val="24"/>
          <w:szCs w:val="24"/>
          <w:highlight w:val="none"/>
          <w:u w:val="single"/>
          <w:lang w:bidi="ar"/>
          <w14:textFill>
            <w14:solidFill>
              <w14:schemeClr w14:val="tx1"/>
            </w14:solidFill>
          </w14:textFill>
        </w:rPr>
        <w:t>闸位计</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4CCC18EB">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w:t>
      </w:r>
      <w:r>
        <w:rPr>
          <w:rFonts w:ascii="宋体" w:hAnsi="宋体" w:cs="仿宋"/>
          <w:color w:val="000000" w:themeColor="text1"/>
          <w:sz w:val="24"/>
          <w:szCs w:val="24"/>
          <w:highlight w:val="none"/>
          <w:lang w:bidi="ar"/>
          <w14:textFill>
            <w14:solidFill>
              <w14:schemeClr w14:val="tx1"/>
            </w14:solidFill>
          </w14:textFill>
        </w:rPr>
        <w:t>7</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仿宋"/>
          <w:color w:val="000000" w:themeColor="text1"/>
          <w:sz w:val="24"/>
          <w:szCs w:val="24"/>
          <w:highlight w:val="none"/>
          <w:u w:val="single"/>
          <w:lang w:bidi="ar"/>
          <w14:textFill>
            <w14:solidFill>
              <w14:schemeClr w14:val="tx1"/>
            </w14:solidFill>
          </w14:textFill>
        </w:rPr>
        <w:t>遥测终端机</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43E13B36">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w:t>
      </w:r>
      <w:r>
        <w:rPr>
          <w:rFonts w:ascii="宋体" w:hAnsi="宋体" w:cs="仿宋"/>
          <w:color w:val="000000" w:themeColor="text1"/>
          <w:sz w:val="24"/>
          <w:szCs w:val="24"/>
          <w:highlight w:val="none"/>
          <w:lang w:bidi="ar"/>
          <w14:textFill>
            <w14:solidFill>
              <w14:schemeClr w14:val="tx1"/>
            </w14:solidFill>
          </w14:textFill>
        </w:rPr>
        <w:t>8</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电源适配器</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39DD7523">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1</w:t>
      </w:r>
      <w:r>
        <w:rPr>
          <w:rFonts w:ascii="宋体" w:hAnsi="宋体" w:cs="仿宋"/>
          <w:color w:val="000000" w:themeColor="text1"/>
          <w:sz w:val="24"/>
          <w:szCs w:val="24"/>
          <w:highlight w:val="none"/>
          <w:lang w:bidi="ar"/>
          <w14:textFill>
            <w14:solidFill>
              <w14:schemeClr w14:val="tx1"/>
            </w14:solidFill>
          </w14:textFill>
        </w:rPr>
        <w:t>9</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仿宋"/>
          <w:color w:val="000000" w:themeColor="text1"/>
          <w:sz w:val="24"/>
          <w:szCs w:val="24"/>
          <w:highlight w:val="none"/>
          <w:u w:val="single"/>
          <w:lang w:bidi="ar"/>
          <w14:textFill>
            <w14:solidFill>
              <w14:schemeClr w14:val="tx1"/>
            </w14:solidFill>
          </w14:textFill>
        </w:rPr>
        <w:t>设备箱</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7BD77A31">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20</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仿宋"/>
          <w:color w:val="000000" w:themeColor="text1"/>
          <w:sz w:val="24"/>
          <w:szCs w:val="24"/>
          <w:highlight w:val="none"/>
          <w:u w:val="single"/>
          <w:lang w:bidi="ar"/>
          <w14:textFill>
            <w14:solidFill>
              <w14:schemeClr w14:val="tx1"/>
            </w14:solidFill>
          </w14:textFill>
        </w:rPr>
        <w:t>高清视频球机</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2885986E">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21</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仿宋"/>
          <w:color w:val="000000" w:themeColor="text1"/>
          <w:sz w:val="24"/>
          <w:szCs w:val="24"/>
          <w:highlight w:val="none"/>
          <w:u w:val="single"/>
          <w:lang w:bidi="ar"/>
          <w14:textFill>
            <w14:solidFill>
              <w14:schemeClr w14:val="tx1"/>
            </w14:solidFill>
          </w14:textFill>
        </w:rPr>
        <w:t>防雷设备</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16D3A5CD">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22</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电源箱</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B9D201A">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23</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鸟类智能识别探头</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68D1DD39">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24</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鸟类鸣声监测设备</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6941D673">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25</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可移动望远镜</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10657DB5">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26</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控制终端</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7F34B2B6">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27</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无人机</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5DD2C755">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28</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无人机场</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B8926B8">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29</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无人机</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563E15E0">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30</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遥控器</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5DDFF5BC">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31</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图传模块</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626850F3">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32</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喊话器</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69963666">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33</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探照灯</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0B3DD0B">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34</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喊话器</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BBD3083">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35</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监测站房</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35A5773E">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36</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水样预处理装置设备</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79089D69">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37</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配水装置设备</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7D828392">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38</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控制单元设备</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32D77A7B">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39</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数据采集传输设备</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058C3FA1">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40</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环境集成配套设备</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36B2DB40">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41</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电力设施及监控设备</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6EBF7A5B">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42</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雷达流速流量计</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1B7F40F7">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43</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高锰酸盐指数在线监测仪</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1A40863C">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44</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氨氮在线监测仪</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6C4EF952">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45</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总磷在线监测仪</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7D0626CB">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46</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总氮在线监测仪</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253211AF">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47</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常规五参数分析仪</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343602B6">
      <w:pPr>
        <w:pStyle w:val="24"/>
        <w:rPr>
          <w:color w:val="000000" w:themeColor="text1"/>
          <w:highlight w:val="none"/>
          <w14:textFill>
            <w14:solidFill>
              <w14:schemeClr w14:val="tx1"/>
            </w14:solidFill>
          </w14:textFill>
        </w:rPr>
      </w:pPr>
    </w:p>
    <w:p w14:paraId="4A231563">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ascii="宋体" w:hAnsi="宋体" w:cs="仿宋"/>
          <w:color w:val="000000" w:themeColor="text1"/>
          <w:sz w:val="24"/>
          <w:szCs w:val="24"/>
          <w:highlight w:val="none"/>
          <w:lang w:bidi="ar"/>
          <w14:textFill>
            <w14:solidFill>
              <w14:schemeClr w14:val="tx1"/>
            </w14:solidFill>
          </w14:textFill>
        </w:rPr>
        <w:t>48</w:t>
      </w:r>
      <w:r>
        <w:rPr>
          <w:rFonts w:hint="eastAsia" w:ascii="宋体" w:hAnsi="宋体" w:cs="仿宋"/>
          <w:color w:val="000000" w:themeColor="text1"/>
          <w:sz w:val="24"/>
          <w:szCs w:val="24"/>
          <w:highlight w:val="none"/>
          <w:lang w:bidi="ar"/>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蓝绿藻传感器</w:t>
      </w:r>
      <w:r>
        <w:rPr>
          <w:rFonts w:hint="eastAsia" w:ascii="宋体" w:hAnsi="宋体" w:cs="仿宋"/>
          <w:color w:val="000000" w:themeColor="text1"/>
          <w:sz w:val="24"/>
          <w:szCs w:val="24"/>
          <w:highlight w:val="none"/>
          <w:lang w:bidi="ar"/>
          <w14:textFill>
            <w14:solidFill>
              <w14:schemeClr w14:val="tx1"/>
            </w14:solidFill>
          </w14:textFill>
        </w:rPr>
        <w:t>，属于</w:t>
      </w:r>
      <w:r>
        <w:rPr>
          <w:rFonts w:hint="eastAsia" w:ascii="宋体" w:hAnsi="宋体" w:cs="仿宋"/>
          <w:color w:val="000000" w:themeColor="text1"/>
          <w:sz w:val="24"/>
          <w:szCs w:val="24"/>
          <w:highlight w:val="none"/>
          <w:u w:val="single"/>
          <w:lang w:bidi="ar"/>
          <w14:textFill>
            <w14:solidFill>
              <w14:schemeClr w14:val="tx1"/>
            </w14:solidFill>
          </w14:textFill>
        </w:rPr>
        <w:t xml:space="preserve">  工业 </w:t>
      </w:r>
      <w:r>
        <w:rPr>
          <w:rFonts w:hint="eastAsia" w:ascii="宋体" w:hAnsi="宋体" w:cs="仿宋"/>
          <w:color w:val="000000" w:themeColor="text1"/>
          <w:sz w:val="24"/>
          <w:szCs w:val="24"/>
          <w:highlight w:val="none"/>
          <w:lang w:bidi="ar"/>
          <w14:textFill>
            <w14:solidFill>
              <w14:schemeClr w14:val="tx1"/>
            </w14:solidFill>
          </w14:textFill>
        </w:rPr>
        <w:t>行业；制造商为</w:t>
      </w:r>
      <w:r>
        <w:rPr>
          <w:rFonts w:hint="eastAsia" w:ascii="宋体" w:hAnsi="宋体" w:cs="仿宋"/>
          <w:color w:val="000000" w:themeColor="text1"/>
          <w:sz w:val="24"/>
          <w:szCs w:val="24"/>
          <w:highlight w:val="none"/>
          <w:u w:val="single"/>
          <w:lang w:bidi="ar"/>
          <w14:textFill>
            <w14:solidFill>
              <w14:schemeClr w14:val="tx1"/>
            </w14:solidFill>
          </w14:textFill>
        </w:rPr>
        <w:t>（企业名称）</w:t>
      </w:r>
      <w:r>
        <w:rPr>
          <w:rFonts w:hint="eastAsia" w:ascii="宋体" w:hAnsi="宋体" w:cs="仿宋"/>
          <w:color w:val="000000" w:themeColor="text1"/>
          <w:sz w:val="24"/>
          <w:szCs w:val="24"/>
          <w:highlight w:val="none"/>
          <w:lang w:bidi="ar"/>
          <w14:textFill>
            <w14:solidFill>
              <w14:schemeClr w14:val="tx1"/>
            </w14:solidFill>
          </w14:textFill>
        </w:rPr>
        <w:t>，从业人员</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人，营业收入为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万元，资产总额为</w:t>
      </w:r>
      <w:r>
        <w:rPr>
          <w:rFonts w:hint="eastAsia" w:ascii="宋体" w:hAnsi="宋体" w:cs="仿宋"/>
          <w:color w:val="000000" w:themeColor="text1"/>
          <w:sz w:val="24"/>
          <w:szCs w:val="24"/>
          <w:highlight w:val="none"/>
          <w:u w:val="single"/>
          <w:lang w:bidi="ar"/>
          <w14:textFill>
            <w14:solidFill>
              <w14:schemeClr w14:val="tx1"/>
            </w14:solidFill>
          </w14:textFill>
        </w:rPr>
        <w:t xml:space="preserve">        </w:t>
      </w:r>
      <w:r>
        <w:rPr>
          <w:rFonts w:hint="eastAsia" w:ascii="宋体" w:hAnsi="宋体" w:cs="仿宋"/>
          <w:color w:val="000000" w:themeColor="text1"/>
          <w:sz w:val="24"/>
          <w:szCs w:val="24"/>
          <w:highlight w:val="none"/>
          <w:lang w:bidi="ar"/>
          <w14:textFill>
            <w14:solidFill>
              <w14:schemeClr w14:val="tx1"/>
            </w14:solidFill>
          </w14:textFill>
        </w:rPr>
        <w:t>万元，属于</w:t>
      </w:r>
      <w:r>
        <w:rPr>
          <w:rFonts w:hint="eastAsia" w:ascii="宋体" w:hAnsi="宋体" w:cs="仿宋"/>
          <w:color w:val="000000" w:themeColor="text1"/>
          <w:sz w:val="24"/>
          <w:szCs w:val="24"/>
          <w:highlight w:val="none"/>
          <w:u w:val="single"/>
          <w:lang w:bidi="ar"/>
          <w14:textFill>
            <w14:solidFill>
              <w14:schemeClr w14:val="tx1"/>
            </w14:solidFill>
          </w14:textFill>
        </w:rPr>
        <w:t>（中型企业、小型企业、微型企业）</w:t>
      </w:r>
      <w:r>
        <w:rPr>
          <w:rFonts w:hint="eastAsia" w:ascii="宋体" w:hAnsi="宋体" w:cs="仿宋"/>
          <w:color w:val="000000" w:themeColor="text1"/>
          <w:sz w:val="24"/>
          <w:szCs w:val="24"/>
          <w:highlight w:val="none"/>
          <w:lang w:bidi="ar"/>
          <w14:textFill>
            <w14:solidFill>
              <w14:schemeClr w14:val="tx1"/>
            </w14:solidFill>
          </w14:textFill>
        </w:rPr>
        <w:t>；</w:t>
      </w:r>
    </w:p>
    <w:p w14:paraId="27F745DB">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w:t>
      </w:r>
    </w:p>
    <w:p w14:paraId="1A2C8B2F">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以上企业，不属于大企业的分支机构，不存在控股股东。</w:t>
      </w:r>
    </w:p>
    <w:p w14:paraId="68F62F3A">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为大企业的情形，也不存在与大企业的负责人为同一人的情形。</w:t>
      </w:r>
    </w:p>
    <w:p w14:paraId="70D271B2">
      <w:pPr>
        <w:spacing w:line="440" w:lineRule="exact"/>
        <w:ind w:firstLine="4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本企业对上述声明内容的真实性负责。如有虚假，将依法承担相应责任。</w:t>
      </w:r>
    </w:p>
    <w:p w14:paraId="1109B2D7">
      <w:pPr>
        <w:spacing w:line="440" w:lineRule="exact"/>
        <w:ind w:left="3780"/>
        <w:rPr>
          <w:rFonts w:ascii="宋体" w:hAnsi="宋体" w:cs="仿宋"/>
          <w:color w:val="000000" w:themeColor="text1"/>
          <w:sz w:val="24"/>
          <w:szCs w:val="24"/>
          <w:highlight w:val="none"/>
          <w14:textFill>
            <w14:solidFill>
              <w14:schemeClr w14:val="tx1"/>
            </w14:solidFill>
          </w14:textFill>
        </w:rPr>
      </w:pPr>
    </w:p>
    <w:p w14:paraId="0B634A88">
      <w:pPr>
        <w:spacing w:line="440" w:lineRule="exact"/>
        <w:ind w:left="37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企业名称</w:t>
      </w:r>
      <w:r>
        <w:rPr>
          <w:rFonts w:hint="eastAsia" w:ascii="宋体" w:hAnsi="宋体"/>
          <w:color w:val="000000" w:themeColor="text1"/>
          <w:sz w:val="24"/>
          <w:szCs w:val="24"/>
          <w:highlight w:val="none"/>
          <w:lang w:bidi="ar"/>
          <w14:textFill>
            <w14:solidFill>
              <w14:schemeClr w14:val="tx1"/>
            </w14:solidFill>
          </w14:textFill>
        </w:rPr>
        <w:t>（加盖CA电子公章）</w:t>
      </w:r>
      <w:r>
        <w:rPr>
          <w:rFonts w:hint="eastAsia" w:ascii="宋体" w:hAnsi="宋体" w:cs="仿宋"/>
          <w:color w:val="000000" w:themeColor="text1"/>
          <w:sz w:val="24"/>
          <w:szCs w:val="24"/>
          <w:highlight w:val="none"/>
          <w:lang w:bidi="ar"/>
          <w14:textFill>
            <w14:solidFill>
              <w14:schemeClr w14:val="tx1"/>
            </w14:solidFill>
          </w14:textFill>
        </w:rPr>
        <w:t>：</w:t>
      </w:r>
    </w:p>
    <w:p w14:paraId="1A682753">
      <w:pPr>
        <w:spacing w:line="440" w:lineRule="exact"/>
        <w:ind w:left="3780"/>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lang w:bidi="ar"/>
          <w14:textFill>
            <w14:solidFill>
              <w14:schemeClr w14:val="tx1"/>
            </w14:solidFill>
          </w14:textFill>
        </w:rPr>
        <w:t>日期：</w:t>
      </w:r>
    </w:p>
    <w:p w14:paraId="18B914E8">
      <w:pPr>
        <w:spacing w:line="42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bidi="ar"/>
          <w14:textFill>
            <w14:solidFill>
              <w14:schemeClr w14:val="tx1"/>
            </w14:solidFill>
          </w14:textFill>
        </w:rPr>
        <w:t>注：</w:t>
      </w:r>
    </w:p>
    <w:p w14:paraId="72E7606C">
      <w:pPr>
        <w:spacing w:line="420" w:lineRule="exact"/>
        <w:rPr>
          <w:color w:val="000000" w:themeColor="text1"/>
          <w:sz w:val="24"/>
          <w:szCs w:val="24"/>
          <w:highlight w:val="none"/>
          <w14:textFill>
            <w14:solidFill>
              <w14:schemeClr w14:val="tx1"/>
            </w14:solidFill>
          </w14:textFill>
        </w:rPr>
      </w:pPr>
      <w:r>
        <w:rPr>
          <w:color w:val="000000" w:themeColor="text1"/>
          <w:sz w:val="24"/>
          <w:szCs w:val="24"/>
          <w:highlight w:val="none"/>
          <w:lang w:bidi="ar"/>
          <w14:textFill>
            <w14:solidFill>
              <w14:schemeClr w14:val="tx1"/>
            </w14:solidFill>
          </w14:textFill>
        </w:rPr>
        <w:t>1.</w:t>
      </w:r>
      <w:r>
        <w:rPr>
          <w:rFonts w:hint="eastAsia"/>
          <w:color w:val="000000" w:themeColor="text1"/>
          <w:sz w:val="24"/>
          <w:szCs w:val="24"/>
          <w:highlight w:val="none"/>
          <w:lang w:bidi="ar"/>
          <w14:textFill>
            <w14:solidFill>
              <w14:schemeClr w14:val="tx1"/>
            </w14:solidFill>
          </w14:textFill>
        </w:rPr>
        <w:t>从业人员、营业收入、资产总额填报上一年度数据，无上一年度数据的新成立企业可不填报。</w:t>
      </w:r>
    </w:p>
    <w:p w14:paraId="5B8720B9">
      <w:pPr>
        <w:spacing w:line="420" w:lineRule="exact"/>
        <w:rPr>
          <w:color w:val="000000" w:themeColor="text1"/>
          <w:sz w:val="24"/>
          <w:szCs w:val="24"/>
          <w:highlight w:val="none"/>
          <w14:textFill>
            <w14:solidFill>
              <w14:schemeClr w14:val="tx1"/>
            </w14:solidFill>
          </w14:textFill>
        </w:rPr>
      </w:pPr>
      <w:r>
        <w:rPr>
          <w:color w:val="000000" w:themeColor="text1"/>
          <w:sz w:val="24"/>
          <w:szCs w:val="24"/>
          <w:highlight w:val="none"/>
          <w:lang w:bidi="ar"/>
          <w14:textFill>
            <w14:solidFill>
              <w14:schemeClr w14:val="tx1"/>
            </w14:solidFill>
          </w14:textFill>
        </w:rPr>
        <w:t>2.</w:t>
      </w:r>
      <w:r>
        <w:rPr>
          <w:rFonts w:hint="eastAsia" w:ascii="宋体" w:hAnsi="宋体"/>
          <w:color w:val="000000" w:themeColor="text1"/>
          <w:sz w:val="24"/>
          <w:szCs w:val="24"/>
          <w:highlight w:val="none"/>
          <w:lang w:bidi="ar"/>
          <w14:textFill>
            <w14:solidFill>
              <w14:schemeClr w14:val="tx1"/>
            </w14:solidFill>
          </w14:textFill>
        </w:rPr>
        <w:t>行业划分具体以（工信部联企业[2011]300号）规定的划分标准为准。</w:t>
      </w:r>
    </w:p>
    <w:p w14:paraId="13ACB6EB">
      <w:pPr>
        <w:spacing w:line="420" w:lineRule="exact"/>
        <w:rPr>
          <w:b/>
          <w:color w:val="000000" w:themeColor="text1"/>
          <w:sz w:val="24"/>
          <w:szCs w:val="24"/>
          <w:highlight w:val="none"/>
          <w14:textFill>
            <w14:solidFill>
              <w14:schemeClr w14:val="tx1"/>
            </w14:solidFill>
          </w14:textFill>
        </w:rPr>
      </w:pPr>
      <w:r>
        <w:rPr>
          <w:b/>
          <w:color w:val="000000" w:themeColor="text1"/>
          <w:sz w:val="24"/>
          <w:szCs w:val="24"/>
          <w:highlight w:val="none"/>
          <w:lang w:bidi="ar"/>
          <w14:textFill>
            <w14:solidFill>
              <w14:schemeClr w14:val="tx1"/>
            </w14:solidFill>
          </w14:textFill>
        </w:rPr>
        <w:t>3.</w:t>
      </w:r>
      <w:r>
        <w:rPr>
          <w:rFonts w:hint="eastAsia"/>
          <w:b/>
          <w:color w:val="000000" w:themeColor="text1"/>
          <w:sz w:val="24"/>
          <w:szCs w:val="24"/>
          <w:highlight w:val="none"/>
          <w:lang w:bidi="ar"/>
          <w14:textFill>
            <w14:solidFill>
              <w14:schemeClr w14:val="tx1"/>
            </w14:solidFill>
          </w14:textFill>
        </w:rPr>
        <w:t>上述“中小企业声明函”格式原则上不得改动，因擅自改动引起的评审风险由投标人自行承担。</w:t>
      </w:r>
    </w:p>
    <w:p w14:paraId="5E7C67A0">
      <w:pPr>
        <w:widowControl/>
        <w:jc w:val="left"/>
        <w:rPr>
          <w:color w:val="000000" w:themeColor="text1"/>
          <w:sz w:val="24"/>
          <w:szCs w:val="24"/>
          <w:highlight w:val="none"/>
          <w14:textFill>
            <w14:solidFill>
              <w14:schemeClr w14:val="tx1"/>
            </w14:solidFill>
          </w14:textFill>
        </w:rPr>
      </w:pPr>
      <w:r>
        <w:rPr>
          <w:b/>
          <w:color w:val="000000" w:themeColor="text1"/>
          <w:sz w:val="24"/>
          <w:szCs w:val="24"/>
          <w:highlight w:val="none"/>
          <w:lang w:bidi="ar"/>
          <w14:textFill>
            <w14:solidFill>
              <w14:schemeClr w14:val="tx1"/>
            </w14:solidFill>
          </w14:textFill>
        </w:rPr>
        <w:t>4.</w:t>
      </w:r>
      <w:r>
        <w:rPr>
          <w:rFonts w:hint="eastAsia"/>
          <w:b/>
          <w:color w:val="000000" w:themeColor="text1"/>
          <w:sz w:val="24"/>
          <w:szCs w:val="24"/>
          <w:highlight w:val="none"/>
          <w:lang w:bidi="ar"/>
          <w14:textFill>
            <w14:solidFill>
              <w14:schemeClr w14:val="tx1"/>
            </w14:solidFill>
          </w14:textFill>
        </w:rPr>
        <w:t>如未对上述声明函内（中型企业、小型企业、微型企业）进行勾选或明确，引起的评审风险由投标人自行承担</w:t>
      </w:r>
      <w:r>
        <w:rPr>
          <w:b/>
          <w:bCs/>
          <w:color w:val="000000" w:themeColor="text1"/>
          <w:sz w:val="24"/>
          <w:szCs w:val="24"/>
          <w:highlight w:val="none"/>
          <w14:textFill>
            <w14:solidFill>
              <w14:schemeClr w14:val="tx1"/>
            </w14:solidFill>
          </w14:textFill>
        </w:rPr>
        <w:t>。</w:t>
      </w:r>
      <w:bookmarkEnd w:id="498"/>
    </w:p>
    <w:p w14:paraId="412A5472">
      <w:pPr>
        <w:spacing w:line="440" w:lineRule="exact"/>
        <w:ind w:firstLine="643"/>
        <w:jc w:val="center"/>
        <w:outlineLvl w:val="1"/>
        <w:rPr>
          <w:rFonts w:ascii="Times New Roman" w:hAnsi="Times New Roman"/>
          <w:b/>
          <w:bCs/>
          <w:color w:val="000000" w:themeColor="text1"/>
          <w:sz w:val="28"/>
          <w:szCs w:val="28"/>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br w:type="page" w:clear="all"/>
      </w:r>
      <w:bookmarkStart w:id="499" w:name="_Toc6651"/>
      <w:bookmarkStart w:id="500" w:name="_Toc15008"/>
      <w:bookmarkStart w:id="501" w:name="_Toc26231"/>
      <w:bookmarkStart w:id="502" w:name="_Toc4833"/>
      <w:r>
        <w:rPr>
          <w:rFonts w:hint="eastAsia" w:ascii="Times New Roman" w:hAnsi="Times New Roman"/>
          <w:b/>
          <w:bCs/>
          <w:color w:val="000000" w:themeColor="text1"/>
          <w:sz w:val="28"/>
          <w:szCs w:val="28"/>
          <w:highlight w:val="none"/>
          <w14:textFill>
            <w14:solidFill>
              <w14:schemeClr w14:val="tx1"/>
            </w14:solidFill>
          </w14:textFill>
        </w:rPr>
        <w:t>附件13 残疾人福利性单位声明函</w:t>
      </w:r>
      <w:bookmarkEnd w:id="499"/>
      <w:bookmarkEnd w:id="500"/>
      <w:bookmarkEnd w:id="501"/>
      <w:bookmarkEnd w:id="502"/>
    </w:p>
    <w:p w14:paraId="00A273B7">
      <w:pPr>
        <w:spacing w:line="588" w:lineRule="exact"/>
        <w:ind w:firstLine="480"/>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1"/>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项目（分包号：**）采购活动提供本单位制造的货物，或者提供其他残疾人福利性单位制造的货物（不包括使用非残疾人福利性单位注册商标的货物）。</w:t>
      </w:r>
    </w:p>
    <w:p w14:paraId="2B603F6F">
      <w:pPr>
        <w:spacing w:line="588" w:lineRule="exact"/>
        <w:ind w:firstLine="480"/>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本单位对上述声明的真实性负责。如有虚假，将依法承担相应责任。</w:t>
      </w:r>
    </w:p>
    <w:p w14:paraId="1E8760D8">
      <w:pPr>
        <w:spacing w:line="588" w:lineRule="exact"/>
        <w:ind w:firstLine="480"/>
        <w:rPr>
          <w:rFonts w:ascii="宋体" w:hAnsi="宋体"/>
          <w:color w:val="000000" w:themeColor="text1"/>
          <w:sz w:val="24"/>
          <w:szCs w:val="21"/>
          <w:highlight w:val="none"/>
          <w14:textFill>
            <w14:solidFill>
              <w14:schemeClr w14:val="tx1"/>
            </w14:solidFill>
          </w14:textFill>
        </w:rPr>
      </w:pPr>
    </w:p>
    <w:p w14:paraId="5ADC92FF">
      <w:pPr>
        <w:spacing w:line="588" w:lineRule="exact"/>
        <w:ind w:firstLine="480"/>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（备注：1、投标人如不提供此声明函，价格将不做相应扣除。2、中标人为残疾人福利单位的，此声明函将随中标结果同时公告，接受社会监督）</w:t>
      </w:r>
    </w:p>
    <w:p w14:paraId="4E18540D">
      <w:pPr>
        <w:spacing w:line="588" w:lineRule="exact"/>
        <w:ind w:firstLine="624"/>
        <w:rPr>
          <w:rFonts w:ascii="仿宋_GB2312" w:hAnsi="Times New Roman" w:eastAsia="仿宋_GB2312"/>
          <w:color w:val="000000" w:themeColor="text1"/>
          <w:spacing w:val="6"/>
          <w:sz w:val="30"/>
          <w:szCs w:val="30"/>
          <w:highlight w:val="none"/>
          <w14:textFill>
            <w14:solidFill>
              <w14:schemeClr w14:val="tx1"/>
            </w14:solidFill>
          </w14:textFill>
        </w:rPr>
      </w:pPr>
    </w:p>
    <w:p w14:paraId="60CBA2C7">
      <w:pPr>
        <w:tabs>
          <w:tab w:val="left" w:pos="4860"/>
        </w:tabs>
        <w:spacing w:line="588" w:lineRule="exact"/>
        <w:ind w:right="1560" w:firstLine="624"/>
        <w:jc w:val="center"/>
        <w:rPr>
          <w:rFonts w:ascii="宋体" w:hAnsi="宋体"/>
          <w:color w:val="000000" w:themeColor="text1"/>
          <w:sz w:val="24"/>
          <w:szCs w:val="21"/>
          <w:highlight w:val="none"/>
          <w14:textFill>
            <w14:solidFill>
              <w14:schemeClr w14:val="tx1"/>
            </w14:solidFill>
          </w14:textFill>
        </w:rPr>
      </w:pPr>
      <w:r>
        <w:rPr>
          <w:rFonts w:hint="eastAsia" w:ascii="仿宋_GB2312" w:hAnsi="Times New Roman" w:eastAsia="仿宋_GB2312"/>
          <w:color w:val="000000" w:themeColor="text1"/>
          <w:spacing w:val="6"/>
          <w:sz w:val="30"/>
          <w:szCs w:val="30"/>
          <w:highlight w:val="non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          投标人全称（加盖CA电子公章）：</w:t>
      </w:r>
    </w:p>
    <w:p w14:paraId="7CB11807">
      <w:pPr>
        <w:tabs>
          <w:tab w:val="left" w:pos="4860"/>
        </w:tabs>
        <w:spacing w:line="588" w:lineRule="exact"/>
        <w:ind w:right="1560" w:firstLine="480"/>
        <w:jc w:val="center"/>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        日  期：</w:t>
      </w:r>
    </w:p>
    <w:p w14:paraId="3C24EA82">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br w:type="page" w:clear="all"/>
      </w:r>
    </w:p>
    <w:p w14:paraId="46E3EC34">
      <w:pPr>
        <w:spacing w:line="440" w:lineRule="exact"/>
        <w:ind w:firstLine="56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503" w:name="_Toc17235"/>
      <w:bookmarkStart w:id="504" w:name="_Toc155086474"/>
      <w:bookmarkStart w:id="505" w:name="_Toc155086574"/>
      <w:bookmarkStart w:id="506" w:name="_Toc3807"/>
      <w:bookmarkStart w:id="507" w:name="_Toc13516"/>
      <w:bookmarkStart w:id="508" w:name="_Toc13811"/>
      <w:bookmarkStart w:id="509" w:name="_Toc17757"/>
      <w:r>
        <w:rPr>
          <w:rFonts w:hint="eastAsia" w:ascii="Times New Roman" w:hAnsi="Times New Roman"/>
          <w:b/>
          <w:bCs/>
          <w:color w:val="000000" w:themeColor="text1"/>
          <w:sz w:val="28"/>
          <w:szCs w:val="28"/>
          <w:highlight w:val="none"/>
          <w14:textFill>
            <w14:solidFill>
              <w14:schemeClr w14:val="tx1"/>
            </w14:solidFill>
          </w14:textFill>
        </w:rPr>
        <w:t>附件14 投标函</w:t>
      </w:r>
      <w:bookmarkEnd w:id="503"/>
      <w:bookmarkEnd w:id="504"/>
      <w:bookmarkEnd w:id="505"/>
      <w:bookmarkEnd w:id="506"/>
      <w:bookmarkEnd w:id="507"/>
      <w:bookmarkEnd w:id="508"/>
      <w:bookmarkEnd w:id="509"/>
    </w:p>
    <w:p w14:paraId="2FAB8521">
      <w:pPr>
        <w:spacing w:line="420" w:lineRule="exact"/>
        <w:jc w:val="left"/>
        <w:rPr>
          <w:rFonts w:ascii="宋体" w:hAnsi="宋体"/>
          <w:color w:val="000000" w:themeColor="text1"/>
          <w:sz w:val="24"/>
          <w:szCs w:val="21"/>
          <w:highlight w:val="none"/>
          <w14:textFill>
            <w14:solidFill>
              <w14:schemeClr w14:val="tx1"/>
            </w14:solidFill>
          </w14:textFill>
        </w:rPr>
      </w:pPr>
    </w:p>
    <w:p w14:paraId="2D33CAA0">
      <w:pPr>
        <w:spacing w:line="440" w:lineRule="exact"/>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致：</w:t>
      </w:r>
      <w:r>
        <w:rPr>
          <w:rFonts w:hint="eastAsia" w:ascii="宋体" w:hAnsi="宋体"/>
          <w:color w:val="000000" w:themeColor="text1"/>
          <w:sz w:val="24"/>
          <w:szCs w:val="24"/>
          <w:highlight w:val="none"/>
          <w:u w:val="single"/>
          <w:lang w:val="zh-CN"/>
          <w14:textFill>
            <w14:solidFill>
              <w14:schemeClr w14:val="tx1"/>
            </w14:solidFill>
          </w14:textFill>
        </w:rPr>
        <w:t>苏州新一造价师价格事务所有限公司</w:t>
      </w:r>
    </w:p>
    <w:p w14:paraId="4B07C2F6">
      <w:pPr>
        <w:pStyle w:val="29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根据贵方的</w:t>
      </w:r>
      <w:r>
        <w:rPr>
          <w:rFonts w:hint="eastAsia" w:ascii="宋体" w:hAnsi="宋体"/>
          <w:color w:val="000000" w:themeColor="text1"/>
          <w:szCs w:val="21"/>
          <w:highlight w:val="none"/>
          <w:lang w:eastAsia="zh-CN"/>
          <w14:textFill>
            <w14:solidFill>
              <w14:schemeClr w14:val="tx1"/>
            </w14:solidFill>
          </w14:textFill>
        </w:rPr>
        <w:t>JSZC-320581-SZXY-G2025-0056</w:t>
      </w:r>
      <w:r>
        <w:rPr>
          <w:rFonts w:hint="eastAsia" w:ascii="宋体" w:hAnsi="宋体"/>
          <w:color w:val="000000" w:themeColor="text1"/>
          <w:szCs w:val="21"/>
          <w:highlight w:val="none"/>
          <w14:textFill>
            <w14:solidFill>
              <w14:schemeClr w14:val="tx1"/>
            </w14:solidFill>
          </w14:textFill>
        </w:rPr>
        <w:t>号招标文件，正式授权下述______(姓名)代表我方______________（投标人的名称），全权处理本次项目投标的有关事宜。</w:t>
      </w:r>
    </w:p>
    <w:p w14:paraId="005CC123">
      <w:pPr>
        <w:pStyle w:val="29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据此函，__________（姓名）代表兹宣布同意如下：</w:t>
      </w:r>
    </w:p>
    <w:p w14:paraId="55793867">
      <w:pPr>
        <w:pStyle w:val="29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1.按招标文件规定的各项要求，向买方提供所需服务（包含与服务相关的货物）。</w:t>
      </w:r>
    </w:p>
    <w:p w14:paraId="63BC214D">
      <w:pPr>
        <w:pStyle w:val="29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2.我们完全理解贵方不一定将合同授予最低报价的投标人。</w:t>
      </w:r>
    </w:p>
    <w:p w14:paraId="5AAE27E9">
      <w:pPr>
        <w:pStyle w:val="29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3.我们已详细审核全部招标文件及其有效补充文件，我们知道必须放弃提出含糊不清或误解问题的权利。</w:t>
      </w:r>
    </w:p>
    <w:p w14:paraId="18F79B38">
      <w:pPr>
        <w:pStyle w:val="294"/>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4.我们同意从规定的开标日期起遵循本投标文件，并在规定的投标有效期期满之前均具有约束力。</w:t>
      </w:r>
    </w:p>
    <w:p w14:paraId="71CF2543">
      <w:pPr>
        <w:pStyle w:val="294"/>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.同意向贵方提供贵方可能另外要求的与投标有关的任何证据或资料，并保证我方已提供和将要提供的文件是真实的、准确的。</w:t>
      </w:r>
    </w:p>
    <w:p w14:paraId="2D9745FE">
      <w:pPr>
        <w:pStyle w:val="294"/>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.一旦我方中标,我方将根据招标文件的规定，严格履行合同的责任和义务,并保证在招标文件规定的时间完成项目，交付买方验收、使用。</w:t>
      </w:r>
    </w:p>
    <w:p w14:paraId="3D78B912">
      <w:pPr>
        <w:pStyle w:val="294"/>
        <w:spacing w:before="0" w:after="0" w:line="42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.与本投标有关的正式通讯地址为：</w:t>
      </w:r>
    </w:p>
    <w:p w14:paraId="05315845">
      <w:pPr>
        <w:pStyle w:val="294"/>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          址：</w:t>
      </w:r>
    </w:p>
    <w:p w14:paraId="65EE7721">
      <w:pPr>
        <w:pStyle w:val="294"/>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邮          编：</w:t>
      </w:r>
    </w:p>
    <w:p w14:paraId="73CE42DF">
      <w:pPr>
        <w:pStyle w:val="294"/>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          话：</w:t>
      </w:r>
    </w:p>
    <w:p w14:paraId="2DF6F1E3">
      <w:pPr>
        <w:pStyle w:val="294"/>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传          真：</w:t>
      </w:r>
    </w:p>
    <w:p w14:paraId="09206DB2">
      <w:pPr>
        <w:pStyle w:val="294"/>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投 标 人开户行：</w:t>
      </w:r>
    </w:p>
    <w:p w14:paraId="6C728346">
      <w:pPr>
        <w:pStyle w:val="294"/>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号： </w:t>
      </w:r>
    </w:p>
    <w:p w14:paraId="5E7C0DDB">
      <w:pPr>
        <w:pStyle w:val="294"/>
        <w:spacing w:before="0" w:after="0" w:line="420" w:lineRule="exact"/>
        <w:ind w:left="42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          期：________年____月____日</w:t>
      </w:r>
    </w:p>
    <w:p w14:paraId="5FB834C5">
      <w:pPr>
        <w:ind w:firstLine="480"/>
        <w:rPr>
          <w:rFonts w:ascii="Times New Roman" w:hAnsi="Times New Roman"/>
          <w:i/>
          <w:color w:val="000000" w:themeColor="text1"/>
          <w:sz w:val="24"/>
          <w:szCs w:val="24"/>
          <w:highlight w:val="none"/>
          <w:u w:val="single"/>
          <w14:textFill>
            <w14:solidFill>
              <w14:schemeClr w14:val="tx1"/>
            </w14:solidFill>
          </w14:textFill>
        </w:rPr>
      </w:pPr>
    </w:p>
    <w:p w14:paraId="1C90AB7A">
      <w:pPr>
        <w:pStyle w:val="15"/>
        <w:ind w:firstLine="482"/>
        <w:rPr>
          <w:color w:val="000000" w:themeColor="text1"/>
          <w:highlight w:val="none"/>
          <w14:textFill>
            <w14:solidFill>
              <w14:schemeClr w14:val="tx1"/>
            </w14:solidFill>
          </w14:textFill>
        </w:rPr>
      </w:pPr>
      <w:r>
        <w:rPr>
          <w:rFonts w:ascii="宋体" w:hAnsi="宋体" w:eastAsia="幼圆" w:cs="Arial"/>
          <w:b/>
          <w:color w:val="000000" w:themeColor="text1"/>
          <w:sz w:val="24"/>
          <w:szCs w:val="44"/>
          <w:highlight w:val="none"/>
          <w14:textFill>
            <w14:solidFill>
              <w14:schemeClr w14:val="tx1"/>
            </w14:solidFill>
          </w14:textFill>
        </w:rPr>
        <w:br w:type="page" w:clear="all"/>
      </w:r>
    </w:p>
    <w:p w14:paraId="2C31FC11">
      <w:pPr>
        <w:spacing w:line="440" w:lineRule="exact"/>
        <w:ind w:firstLine="562"/>
        <w:jc w:val="center"/>
        <w:outlineLvl w:val="1"/>
        <w:rPr>
          <w:rFonts w:ascii="Times New Roman" w:hAnsi="Times New Roman"/>
          <w:b/>
          <w:bCs/>
          <w:color w:val="000000" w:themeColor="text1"/>
          <w:sz w:val="28"/>
          <w:szCs w:val="28"/>
          <w:highlight w:val="none"/>
          <w14:textFill>
            <w14:solidFill>
              <w14:schemeClr w14:val="tx1"/>
            </w14:solidFill>
          </w14:textFill>
        </w:rPr>
      </w:pPr>
      <w:bookmarkStart w:id="510" w:name="_Toc12396"/>
      <w:bookmarkStart w:id="511" w:name="_Toc1905"/>
      <w:bookmarkStart w:id="512" w:name="_Toc19079"/>
      <w:bookmarkStart w:id="513" w:name="_Toc28335"/>
      <w:r>
        <w:rPr>
          <w:rFonts w:hint="eastAsia" w:ascii="Times New Roman" w:hAnsi="Times New Roman"/>
          <w:b/>
          <w:bCs/>
          <w:color w:val="000000" w:themeColor="text1"/>
          <w:sz w:val="28"/>
          <w:szCs w:val="28"/>
          <w:highlight w:val="none"/>
          <w14:textFill>
            <w14:solidFill>
              <w14:schemeClr w14:val="tx1"/>
            </w14:solidFill>
          </w14:textFill>
        </w:rPr>
        <w:t>附件15</w:t>
      </w:r>
      <w:r>
        <w:rPr>
          <w:rFonts w:ascii="Times New Roman" w:hAnsi="Times New Roman"/>
          <w:b/>
          <w:bCs/>
          <w:color w:val="000000" w:themeColor="text1"/>
          <w:sz w:val="28"/>
          <w:szCs w:val="28"/>
          <w:highlight w:val="none"/>
          <w14:textFill>
            <w14:solidFill>
              <w14:schemeClr w14:val="tx1"/>
            </w14:solidFill>
          </w14:textFill>
        </w:rPr>
        <w:t xml:space="preserve"> </w:t>
      </w:r>
      <w:r>
        <w:rPr>
          <w:rFonts w:hint="eastAsia" w:ascii="Times New Roman" w:hAnsi="Times New Roman"/>
          <w:b/>
          <w:bCs/>
          <w:color w:val="000000" w:themeColor="text1"/>
          <w:sz w:val="28"/>
          <w:szCs w:val="28"/>
          <w:highlight w:val="none"/>
          <w14:textFill>
            <w14:solidFill>
              <w14:schemeClr w14:val="tx1"/>
            </w14:solidFill>
          </w14:textFill>
        </w:rPr>
        <w:t>实质性要求响应及偏离表</w:t>
      </w:r>
      <w:bookmarkEnd w:id="510"/>
      <w:bookmarkEnd w:id="511"/>
      <w:bookmarkEnd w:id="512"/>
      <w:bookmarkEnd w:id="513"/>
    </w:p>
    <w:tbl>
      <w:tblPr>
        <w:tblStyle w:val="42"/>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
        <w:gridCol w:w="5474"/>
        <w:gridCol w:w="1910"/>
        <w:gridCol w:w="1626"/>
      </w:tblGrid>
      <w:tr w14:paraId="34A12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967" w:hRule="atLeast"/>
          <w:jc w:val="center"/>
        </w:trPr>
        <w:tc>
          <w:tcPr>
            <w:tcW w:w="888" w:type="dxa"/>
            <w:noWrap w:val="0"/>
            <w:vAlign w:val="center"/>
          </w:tcPr>
          <w:p w14:paraId="6AAFABDD">
            <w:pPr>
              <w:spacing w:line="40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5474" w:type="dxa"/>
            <w:noWrap w:val="0"/>
            <w:vAlign w:val="center"/>
          </w:tcPr>
          <w:p w14:paraId="58B23928">
            <w:pPr>
              <w:spacing w:line="40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服务要求和商务要求中的实质性要求</w:t>
            </w:r>
          </w:p>
        </w:tc>
        <w:tc>
          <w:tcPr>
            <w:tcW w:w="1910" w:type="dxa"/>
            <w:noWrap w:val="0"/>
            <w:vAlign w:val="center"/>
          </w:tcPr>
          <w:p w14:paraId="2115BAD1">
            <w:pPr>
              <w:spacing w:line="40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投标响应情况</w:t>
            </w:r>
          </w:p>
        </w:tc>
        <w:tc>
          <w:tcPr>
            <w:tcW w:w="1626" w:type="dxa"/>
            <w:noWrap w:val="0"/>
            <w:vAlign w:val="center"/>
          </w:tcPr>
          <w:p w14:paraId="66AFAAE1">
            <w:pPr>
              <w:spacing w:line="40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超出、符合或偏离</w:t>
            </w:r>
          </w:p>
        </w:tc>
      </w:tr>
      <w:tr w14:paraId="4370E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967" w:hRule="atLeast"/>
          <w:jc w:val="center"/>
        </w:trPr>
        <w:tc>
          <w:tcPr>
            <w:tcW w:w="888" w:type="dxa"/>
            <w:noWrap w:val="0"/>
            <w:vAlign w:val="center"/>
          </w:tcPr>
          <w:p w14:paraId="7D756FA6">
            <w:pPr>
              <w:spacing w:line="40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w:t>
            </w:r>
          </w:p>
        </w:tc>
        <w:tc>
          <w:tcPr>
            <w:tcW w:w="5474" w:type="dxa"/>
            <w:noWrap w:val="0"/>
            <w:vAlign w:val="center"/>
          </w:tcPr>
          <w:p w14:paraId="00CC3740">
            <w:pPr>
              <w:tabs>
                <w:tab w:val="left" w:pos="0"/>
              </w:tabs>
              <w:spacing w:line="440" w:lineRule="exact"/>
              <w:ind w:right="-27"/>
              <w:rPr>
                <w:rFonts w:ascii="宋体" w:hAnsi="宋体"/>
                <w:color w:val="000000" w:themeColor="text1"/>
                <w:sz w:val="24"/>
                <w:szCs w:val="24"/>
                <w:highlight w:val="none"/>
                <w14:textFill>
                  <w14:solidFill>
                    <w14:schemeClr w14:val="tx1"/>
                  </w14:solidFill>
                </w14:textFill>
              </w:rPr>
            </w:pPr>
            <w:r>
              <w:rPr>
                <w:rFonts w:hint="eastAsia" w:ascii="宋体" w:hAnsi="宋体"/>
                <w:iCs/>
                <w:color w:val="000000" w:themeColor="text1"/>
                <w:sz w:val="24"/>
                <w:szCs w:val="24"/>
                <w:highlight w:val="none"/>
                <w14:textFill>
                  <w14:solidFill>
                    <w14:schemeClr w14:val="tx1"/>
                  </w14:solidFill>
                </w14:textFill>
              </w:rPr>
              <w:t>工期：签订合同后，在接到书面进场通知40日历天内（包括节假日在内）向采购人交付合同约定的货物，并完成安装、调试、验收合格，交付采购人使用。</w:t>
            </w:r>
          </w:p>
        </w:tc>
        <w:tc>
          <w:tcPr>
            <w:tcW w:w="1910" w:type="dxa"/>
            <w:noWrap w:val="0"/>
            <w:vAlign w:val="center"/>
          </w:tcPr>
          <w:p w14:paraId="5D5C5486">
            <w:pPr>
              <w:spacing w:line="400" w:lineRule="exact"/>
              <w:jc w:val="center"/>
              <w:rPr>
                <w:rFonts w:ascii="宋体" w:hAnsi="宋体"/>
                <w:color w:val="000000" w:themeColor="text1"/>
                <w:sz w:val="24"/>
                <w:szCs w:val="24"/>
                <w:highlight w:val="none"/>
                <w14:textFill>
                  <w14:solidFill>
                    <w14:schemeClr w14:val="tx1"/>
                  </w14:solidFill>
                </w14:textFill>
              </w:rPr>
            </w:pPr>
          </w:p>
        </w:tc>
        <w:tc>
          <w:tcPr>
            <w:tcW w:w="1626" w:type="dxa"/>
            <w:noWrap w:val="0"/>
            <w:vAlign w:val="center"/>
          </w:tcPr>
          <w:p w14:paraId="661459B0">
            <w:pPr>
              <w:spacing w:line="400" w:lineRule="exact"/>
              <w:jc w:val="center"/>
              <w:rPr>
                <w:rFonts w:ascii="宋体" w:hAnsi="宋体"/>
                <w:color w:val="000000" w:themeColor="text1"/>
                <w:sz w:val="24"/>
                <w:szCs w:val="24"/>
                <w:highlight w:val="none"/>
                <w14:textFill>
                  <w14:solidFill>
                    <w14:schemeClr w14:val="tx1"/>
                  </w14:solidFill>
                </w14:textFill>
              </w:rPr>
            </w:pPr>
          </w:p>
        </w:tc>
      </w:tr>
      <w:tr w14:paraId="35BF8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5" w:hRule="atLeast"/>
          <w:jc w:val="center"/>
        </w:trPr>
        <w:tc>
          <w:tcPr>
            <w:tcW w:w="888" w:type="dxa"/>
            <w:noWrap w:val="0"/>
            <w:vAlign w:val="center"/>
          </w:tcPr>
          <w:p w14:paraId="7A352F53">
            <w:pPr>
              <w:spacing w:line="400" w:lineRule="exact"/>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w:t>
            </w:r>
          </w:p>
        </w:tc>
        <w:tc>
          <w:tcPr>
            <w:tcW w:w="5474" w:type="dxa"/>
            <w:noWrap w:val="0"/>
            <w:vAlign w:val="center"/>
          </w:tcPr>
          <w:p w14:paraId="4102A58D">
            <w:pPr>
              <w:spacing w:line="440" w:lineRule="exact"/>
              <w:ind w:right="50"/>
              <w:rPr>
                <w:iCs/>
                <w:color w:val="000000" w:themeColor="text1"/>
                <w:sz w:val="24"/>
                <w:szCs w:val="24"/>
                <w:highlight w:val="none"/>
                <w14:textFill>
                  <w14:solidFill>
                    <w14:schemeClr w14:val="tx1"/>
                  </w14:solidFill>
                </w14:textFill>
              </w:rPr>
            </w:pPr>
            <w:r>
              <w:rPr>
                <w:rFonts w:hint="eastAsia"/>
                <w:iCs/>
                <w:color w:val="000000" w:themeColor="text1"/>
                <w:sz w:val="24"/>
                <w:szCs w:val="24"/>
                <w:highlight w:val="none"/>
                <w14:textFill>
                  <w14:solidFill>
                    <w14:schemeClr w14:val="tx1"/>
                  </w14:solidFill>
                </w14:textFill>
              </w:rPr>
              <w:t>付款方式：</w:t>
            </w:r>
          </w:p>
          <w:p w14:paraId="7B4BD18C">
            <w:pPr>
              <w:spacing w:line="440" w:lineRule="exact"/>
              <w:ind w:firstLine="480"/>
              <w:rPr>
                <w:rFonts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1、合同签订后的一个月内，甲方向乙方支付合同总价的</w:t>
            </w:r>
            <w:r>
              <w:rPr>
                <w:rFonts w:hint="eastAsia" w:ascii="Times New Roman" w:hAnsi="Times New Roman"/>
                <w:color w:val="000000" w:themeColor="text1"/>
                <w:sz w:val="24"/>
                <w:highlight w:val="none"/>
                <w:lang w:val="en-US" w:eastAsia="zh-CN" w:bidi="ar"/>
                <w14:textFill>
                  <w14:solidFill>
                    <w14:schemeClr w14:val="tx1"/>
                  </w14:solidFill>
                </w14:textFill>
              </w:rPr>
              <w:t>70</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highlight w:val="none"/>
                <w:lang w:bidi="ar"/>
                <w14:textFill>
                  <w14:solidFill>
                    <w14:schemeClr w14:val="tx1"/>
                  </w14:solidFill>
                </w14:textFill>
              </w:rPr>
              <w:t>作为预付款；</w:t>
            </w:r>
          </w:p>
          <w:p w14:paraId="4D6BA6F6">
            <w:pPr>
              <w:spacing w:line="440" w:lineRule="exact"/>
              <w:ind w:firstLine="480"/>
              <w:rPr>
                <w:rFonts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2、乙方提供的货物经甲方验收合格后的两个月内，甲方向乙方支付至合同总价的90</w:t>
            </w:r>
            <w:r>
              <w:rPr>
                <w:rFonts w:ascii="Times New Roman" w:hAnsi="Times New Roman"/>
                <w:color w:val="000000" w:themeColor="text1"/>
                <w:sz w:val="24"/>
                <w:highlight w:val="none"/>
                <w:lang w:bidi="ar"/>
                <w14:textFill>
                  <w14:solidFill>
                    <w14:schemeClr w14:val="tx1"/>
                  </w14:solidFill>
                </w14:textFill>
              </w:rPr>
              <w:t>%</w:t>
            </w:r>
            <w:r>
              <w:rPr>
                <w:rFonts w:hint="eastAsia" w:ascii="Times New Roman" w:hAnsi="Times New Roman"/>
                <w:color w:val="000000" w:themeColor="text1"/>
                <w:sz w:val="24"/>
                <w:highlight w:val="none"/>
                <w:lang w:bidi="ar"/>
                <w14:textFill>
                  <w14:solidFill>
                    <w14:schemeClr w14:val="tx1"/>
                  </w14:solidFill>
                </w14:textFill>
              </w:rPr>
              <w:t>；</w:t>
            </w:r>
          </w:p>
          <w:p w14:paraId="22EF2649">
            <w:pPr>
              <w:spacing w:line="440" w:lineRule="exact"/>
              <w:ind w:firstLine="480"/>
              <w:rPr>
                <w:rFonts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3、安装调试验收合格之日起一周年后的农历年前，甲方向乙方支付至合同总价的100%。</w:t>
            </w:r>
          </w:p>
          <w:p w14:paraId="72084948">
            <w:pPr>
              <w:spacing w:line="440" w:lineRule="exact"/>
              <w:rPr>
                <w:rFonts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 xml:space="preserve">注：（1）以上每次付款前，乙方均应提供符合甲方要求的同等金额的合法有效发票。否则，甲方有权顺延付款时间，且不承担任何违约及赔偿责任。 </w:t>
            </w:r>
          </w:p>
          <w:p w14:paraId="1A8F258A">
            <w:pPr>
              <w:spacing w:line="440" w:lineRule="exact"/>
              <w:rPr>
                <w:rFonts w:ascii="Times New Roman" w:hAnsi="Times New Roman"/>
                <w:color w:val="000000" w:themeColor="text1"/>
                <w:sz w:val="24"/>
                <w:highlight w:val="none"/>
                <w:lang w:bidi="ar"/>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（2）本项目支付方式支持数字人民币方式。</w:t>
            </w:r>
          </w:p>
          <w:p w14:paraId="0E77CFC3">
            <w:pPr>
              <w:spacing w:line="440" w:lineRule="exact"/>
              <w:rPr>
                <w:color w:val="000000" w:themeColor="text1"/>
                <w:highlight w:val="none"/>
                <w14:textFill>
                  <w14:solidFill>
                    <w14:schemeClr w14:val="tx1"/>
                  </w14:solidFill>
                </w14:textFill>
              </w:rPr>
            </w:pPr>
            <w:r>
              <w:rPr>
                <w:rFonts w:hint="eastAsia" w:ascii="Times New Roman" w:hAnsi="Times New Roman"/>
                <w:color w:val="000000" w:themeColor="text1"/>
                <w:sz w:val="24"/>
                <w:highlight w:val="none"/>
                <w:lang w:bidi="ar"/>
                <w14:textFill>
                  <w14:solidFill>
                    <w14:schemeClr w14:val="tx1"/>
                  </w14:solidFill>
                </w14:textFill>
              </w:rPr>
              <w:t>（3）在签订合同时乙方明确表示无需预付款或者主要要求降低预付款比例的，上述付款方式中预付款要求可不执行，但应当由乙方书面提出并作为采购档案保存。</w:t>
            </w:r>
          </w:p>
        </w:tc>
        <w:tc>
          <w:tcPr>
            <w:tcW w:w="1910" w:type="dxa"/>
            <w:noWrap w:val="0"/>
            <w:vAlign w:val="center"/>
          </w:tcPr>
          <w:p w14:paraId="77CE39BA">
            <w:pPr>
              <w:spacing w:line="400" w:lineRule="exact"/>
              <w:jc w:val="center"/>
              <w:rPr>
                <w:rFonts w:ascii="宋体" w:hAnsi="宋体"/>
                <w:color w:val="000000" w:themeColor="text1"/>
                <w:sz w:val="24"/>
                <w:szCs w:val="24"/>
                <w:highlight w:val="none"/>
                <w14:textFill>
                  <w14:solidFill>
                    <w14:schemeClr w14:val="tx1"/>
                  </w14:solidFill>
                </w14:textFill>
              </w:rPr>
            </w:pPr>
          </w:p>
        </w:tc>
        <w:tc>
          <w:tcPr>
            <w:tcW w:w="1626" w:type="dxa"/>
            <w:noWrap w:val="0"/>
            <w:vAlign w:val="center"/>
          </w:tcPr>
          <w:p w14:paraId="3C078FBA">
            <w:pPr>
              <w:spacing w:line="400" w:lineRule="exact"/>
              <w:jc w:val="center"/>
              <w:rPr>
                <w:rFonts w:ascii="宋体" w:hAnsi="宋体"/>
                <w:color w:val="000000" w:themeColor="text1"/>
                <w:sz w:val="24"/>
                <w:szCs w:val="24"/>
                <w:highlight w:val="none"/>
                <w14:textFill>
                  <w14:solidFill>
                    <w14:schemeClr w14:val="tx1"/>
                  </w14:solidFill>
                </w14:textFill>
              </w:rPr>
            </w:pPr>
          </w:p>
        </w:tc>
      </w:tr>
    </w:tbl>
    <w:p w14:paraId="03397498">
      <w:pPr>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备注</w:t>
      </w:r>
      <w:r>
        <w:rPr>
          <w:rFonts w:ascii="宋体" w:hAnsi="宋体"/>
          <w:color w:val="000000" w:themeColor="text1"/>
          <w:sz w:val="24"/>
          <w:szCs w:val="24"/>
          <w:highlight w:val="none"/>
          <w14:textFill>
            <w14:solidFill>
              <w14:schemeClr w14:val="tx1"/>
            </w14:solidFill>
          </w14:textFill>
        </w:rPr>
        <w:t>：</w:t>
      </w:r>
    </w:p>
    <w:p w14:paraId="79D69437">
      <w:pPr>
        <w:spacing w:line="40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1.投标人必须</w:t>
      </w:r>
      <w:r>
        <w:rPr>
          <w:rFonts w:ascii="宋体" w:hAnsi="宋体"/>
          <w:color w:val="000000" w:themeColor="text1"/>
          <w:sz w:val="24"/>
          <w:szCs w:val="24"/>
          <w:highlight w:val="none"/>
          <w14:textFill>
            <w14:solidFill>
              <w14:schemeClr w14:val="tx1"/>
            </w14:solidFill>
          </w14:textFill>
        </w:rPr>
        <w:t>对技术</w:t>
      </w:r>
      <w:r>
        <w:rPr>
          <w:rFonts w:hint="eastAsia" w:ascii="宋体" w:hAnsi="宋体"/>
          <w:color w:val="000000" w:themeColor="text1"/>
          <w:sz w:val="24"/>
          <w:szCs w:val="24"/>
          <w:highlight w:val="none"/>
          <w14:textFill>
            <w14:solidFill>
              <w14:schemeClr w14:val="tx1"/>
            </w14:solidFill>
          </w14:textFill>
        </w:rPr>
        <w:t>要求</w:t>
      </w:r>
      <w:r>
        <w:rPr>
          <w:rFonts w:ascii="宋体" w:hAnsi="宋体"/>
          <w:color w:val="000000" w:themeColor="text1"/>
          <w:sz w:val="24"/>
          <w:szCs w:val="24"/>
          <w:highlight w:val="none"/>
          <w14:textFill>
            <w14:solidFill>
              <w14:schemeClr w14:val="tx1"/>
            </w14:solidFill>
          </w14:textFill>
        </w:rPr>
        <w:t>和商务要求中的实质性要求逐条做出明确响应</w:t>
      </w:r>
      <w:r>
        <w:rPr>
          <w:rFonts w:hint="eastAsia"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否则作无效投标处理</w:t>
      </w:r>
      <w:r>
        <w:rPr>
          <w:rFonts w:ascii="宋体" w:hAnsi="宋体"/>
          <w:color w:val="000000" w:themeColor="text1"/>
          <w:sz w:val="24"/>
          <w:highlight w:val="none"/>
          <w14:textFill>
            <w14:solidFill>
              <w14:schemeClr w14:val="tx1"/>
            </w14:solidFill>
          </w14:textFill>
        </w:rPr>
        <w:t>。</w:t>
      </w:r>
    </w:p>
    <w:p w14:paraId="2672B3EE">
      <w:pPr>
        <w:spacing w:line="400" w:lineRule="exact"/>
        <w:ind w:firstLine="480"/>
        <w:rPr>
          <w:color w:val="000000" w:themeColor="text1"/>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.投标人未对实质性要求逐条作出明确响应的，或未按招标文件要求提供证明材料（如有）的，该项目作无效投标处理。</w:t>
      </w:r>
    </w:p>
    <w:sectPr>
      <w:footerReference r:id="rId9" w:type="first"/>
      <w:footerReference r:id="rId8" w:type="default"/>
      <w:pgSz w:w="11906" w:h="16838"/>
      <w:pgMar w:top="771" w:right="720" w:bottom="993" w:left="720" w:header="231" w:footer="452"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onospace">
    <w:altName w:val="XcGJSymbol"/>
    <w:panose1 w:val="020B0503020202020204"/>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Berlin Sans FB Demi">
    <w:panose1 w:val="020E0802020502020306"/>
    <w:charset w:val="00"/>
    <w:family w:val="auto"/>
    <w:pitch w:val="default"/>
    <w:sig w:usb0="00000003" w:usb1="00000000" w:usb2="00000000" w:usb3="00000000" w:csb0="20000001" w:csb1="00000000"/>
  </w:font>
  <w:font w:name="Microsoft YaHei UI">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F3382">
    <w:pPr>
      <w:pStyle w:val="344"/>
      <w:framePr w:wrap="around" w:vAnchor="text" w:hAnchor="margin" w:xAlign="center" w:y="1"/>
      <w:ind w:firstLine="360"/>
      <w:rPr>
        <w:rStyle w:val="272"/>
        <w:rFonts w:ascii="宋体" w:hAnsi="宋体"/>
      </w:rPr>
    </w:pPr>
    <w:r>
      <w:rPr>
        <w:rFonts w:ascii="宋体" w:hAnsi="宋体"/>
      </w:rPr>
      <w:fldChar w:fldCharType="begin"/>
    </w:r>
    <w:r>
      <w:rPr>
        <w:rStyle w:val="272"/>
        <w:rFonts w:ascii="宋体" w:hAnsi="宋体"/>
      </w:rPr>
      <w:instrText xml:space="preserve">PAGE  </w:instrText>
    </w:r>
    <w:r>
      <w:rPr>
        <w:rFonts w:ascii="宋体" w:hAnsi="宋体"/>
      </w:rPr>
      <w:fldChar w:fldCharType="separate"/>
    </w:r>
    <w:r>
      <w:rPr>
        <w:rStyle w:val="272"/>
        <w:rFonts w:ascii="宋体" w:hAnsi="宋体"/>
      </w:rPr>
      <w:t>38</w:t>
    </w:r>
    <w:r>
      <w:rPr>
        <w:rFonts w:ascii="宋体" w:hAnsi="宋体"/>
      </w:rPr>
      <w:fldChar w:fldCharType="end"/>
    </w:r>
  </w:p>
  <w:p w14:paraId="1F4A23AF"/>
  <w:p w14:paraId="3F36CD3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B8AA2">
    <w:pPr>
      <w:pStyle w:val="344"/>
      <w:framePr w:wrap="around" w:vAnchor="text" w:hAnchor="margin" w:xAlign="center" w:y="1"/>
      <w:ind w:firstLine="360"/>
      <w:rPr>
        <w:rStyle w:val="272"/>
      </w:rPr>
    </w:pPr>
    <w:r>
      <w:fldChar w:fldCharType="begin"/>
    </w:r>
    <w:r>
      <w:rPr>
        <w:rStyle w:val="272"/>
      </w:rPr>
      <w:instrText xml:space="preserve">PAGE  </w:instrText>
    </w:r>
    <w:r>
      <w:fldChar w:fldCharType="separate"/>
    </w:r>
    <w:r>
      <w:rPr>
        <w:rStyle w:val="272"/>
      </w:rPr>
      <w:t>1</w:t>
    </w:r>
    <w:r>
      <w:fldChar w:fldCharType="end"/>
    </w:r>
  </w:p>
  <w:p w14:paraId="4F752547">
    <w:pPr>
      <w:pStyle w:val="344"/>
      <w:ind w:firstLine="360"/>
    </w:pPr>
  </w:p>
  <w:p w14:paraId="6302370D"/>
  <w:p w14:paraId="6A8D5CEF"/>
  <w:p w14:paraId="21B524DD"/>
  <w:p w14:paraId="643E8378"/>
  <w:p w14:paraId="7A89BA49"/>
  <w:p w14:paraId="65313709"/>
  <w:p w14:paraId="31FB1821"/>
  <w:p w14:paraId="3D10DCEB"/>
  <w:p w14:paraId="4182206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555A6"/>
  <w:p w14:paraId="3B78D806"/>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1C85F">
    <w:pPr>
      <w:pStyle w:val="2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8CD148">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3E104">
                          <w:pPr>
                            <w:pStyle w:val="27"/>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PuF3382AgAAYwQAAA4AAAAAAAAAAQAgAAAAHwEAAGRycy9lMm9Eb2MueG1s&#10;UEsFBgAAAAAGAAYAWQEAAMcFAAAAAA==&#10;">
              <v:fill on="f" focussize="0,0"/>
              <v:stroke on="f" weight="0.5pt"/>
              <v:imagedata o:title=""/>
              <o:lock v:ext="edit" aspectratio="f"/>
              <v:textbox inset="0mm,0mm,0mm,0mm" style="mso-fit-shape-to-text:t;">
                <w:txbxContent>
                  <w:p w14:paraId="3873E104">
                    <w:pPr>
                      <w:pStyle w:val="27"/>
                    </w:pPr>
                    <w:r>
                      <w:fldChar w:fldCharType="begin"/>
                    </w:r>
                    <w:r>
                      <w:instrText xml:space="preserve"> PAGE  \* MERGEFORMAT </w:instrText>
                    </w:r>
                    <w:r>
                      <w:fldChar w:fldCharType="separate"/>
                    </w:r>
                    <w:r>
                      <w:t>49</w:t>
                    </w:r>
                    <w:r>
                      <w:fldChar w:fldCharType="end"/>
                    </w:r>
                  </w:p>
                </w:txbxContent>
              </v:textbox>
            </v:shape>
          </w:pict>
        </mc:Fallback>
      </mc:AlternateContent>
    </w:r>
  </w:p>
  <w:p w14:paraId="561993FF"/>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011D3">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0CAB13">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170CAB13">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641D5">
    <w:pPr>
      <w:pStyle w:val="342"/>
      <w:ind w:firstLine="360"/>
    </w:pPr>
  </w:p>
  <w:p w14:paraId="17838B26"/>
  <w:p w14:paraId="24A5D4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BF205925"/>
    <w:multiLevelType w:val="multilevel"/>
    <w:tmpl w:val="BF205925"/>
    <w:lvl w:ilvl="0" w:tentative="0">
      <w:start w:val="1"/>
      <w:numFmt w:val="decimal"/>
      <w:pStyle w:val="388"/>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upperLetter"/>
      <w:pStyle w:val="29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51"/>
      <w:suff w:val="nothing"/>
      <w:lvlText w:val=""/>
      <w:lvlJc w:val="left"/>
      <w:pPr>
        <w:ind w:left="0" w:firstLine="0"/>
      </w:pPr>
      <w:rPr>
        <w:rFonts w:hint="eastAsia"/>
      </w:rPr>
    </w:lvl>
    <w:lvl w:ilvl="6" w:tentative="0">
      <w:start w:val="1"/>
      <w:numFmt w:val="decimal"/>
      <w:pStyle w:val="252"/>
      <w:suff w:val="nothing"/>
      <w:lvlText w:val=""/>
      <w:lvlJc w:val="left"/>
      <w:pPr>
        <w:ind w:left="0" w:firstLine="0"/>
      </w:pPr>
      <w:rPr>
        <w:rFonts w:hint="eastAsia"/>
      </w:rPr>
    </w:lvl>
    <w:lvl w:ilvl="7" w:tentative="0">
      <w:start w:val="1"/>
      <w:numFmt w:val="decimal"/>
      <w:pStyle w:val="253"/>
      <w:suff w:val="nothing"/>
      <w:lvlText w:val=""/>
      <w:lvlJc w:val="left"/>
      <w:pPr>
        <w:ind w:left="0" w:firstLine="0"/>
      </w:pPr>
      <w:rPr>
        <w:rFonts w:hint="eastAsia"/>
      </w:rPr>
    </w:lvl>
    <w:lvl w:ilvl="8" w:tentative="0">
      <w:start w:val="1"/>
      <w:numFmt w:val="decimal"/>
      <w:pStyle w:val="254"/>
      <w:suff w:val="nothing"/>
      <w:lvlText w:val=""/>
      <w:lvlJc w:val="left"/>
      <w:pPr>
        <w:ind w:left="0" w:firstLine="0"/>
      </w:pPr>
      <w:rPr>
        <w:rFonts w:hint="eastAsia"/>
      </w:rPr>
    </w:lvl>
  </w:abstractNum>
  <w:abstractNum w:abstractNumId="4">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59ADCABA"/>
    <w:multiLevelType w:val="multilevel"/>
    <w:tmpl w:val="59ADCABA"/>
    <w:lvl w:ilvl="0" w:tentative="0">
      <w:start w:val="1"/>
      <w:numFmt w:val="decimal"/>
      <w:pStyle w:val="31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6"/>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12023E"/>
    <w:rsid w:val="0B5F7656"/>
    <w:rsid w:val="2F8A246F"/>
    <w:rsid w:val="5A3A3464"/>
    <w:rsid w:val="661D447D"/>
    <w:rsid w:val="6B7C0AF9"/>
    <w:rsid w:val="77D33FCF"/>
    <w:rsid w:val="7E1B16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99" w:name="Body Text Indent 2"/>
    <w:lsdException w:qFormat="1"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118"/>
    <w:qFormat/>
    <w:uiPriority w:val="99"/>
    <w:pPr>
      <w:keepNext/>
      <w:keepLines/>
      <w:spacing w:before="480" w:after="200"/>
      <w:outlineLvl w:val="0"/>
    </w:pPr>
    <w:rPr>
      <w:rFonts w:ascii="Arial" w:hAnsi="Arial" w:eastAsia="Arial" w:cs="Arial"/>
      <w:sz w:val="40"/>
      <w:szCs w:val="40"/>
    </w:rPr>
  </w:style>
  <w:style w:type="paragraph" w:styleId="2">
    <w:name w:val="heading 2"/>
    <w:basedOn w:val="1"/>
    <w:next w:val="1"/>
    <w:link w:val="11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12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1"/>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12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78"/>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124"/>
    <w:unhideWhenUsed/>
    <w:qFormat/>
    <w:uiPriority w:val="9"/>
    <w:pPr>
      <w:keepNext/>
      <w:keepLines/>
      <w:spacing w:before="320" w:after="200"/>
      <w:outlineLvl w:val="8"/>
    </w:pPr>
    <w:rPr>
      <w:rFonts w:ascii="Arial" w:hAnsi="Arial" w:eastAsia="Arial" w:cs="Arial"/>
      <w:i/>
      <w:iCs/>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link w:val="452"/>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453"/>
    <w:semiHidden/>
    <w:unhideWhenUsed/>
    <w:qFormat/>
    <w:uiPriority w:val="99"/>
    <w:pPr>
      <w:shd w:val="clear" w:color="auto" w:fill="000080"/>
    </w:pPr>
  </w:style>
  <w:style w:type="paragraph" w:styleId="14">
    <w:name w:val="annotation text"/>
    <w:basedOn w:val="1"/>
    <w:link w:val="411"/>
    <w:unhideWhenUsed/>
    <w:qFormat/>
    <w:uiPriority w:val="99"/>
    <w:pPr>
      <w:jc w:val="left"/>
    </w:pPr>
  </w:style>
  <w:style w:type="paragraph" w:styleId="15">
    <w:name w:val="Body Text"/>
    <w:basedOn w:val="1"/>
    <w:next w:val="16"/>
    <w:qFormat/>
    <w:uiPriority w:val="0"/>
    <w:rPr>
      <w:rFonts w:ascii="楷体_GB2312" w:hAnsi="Arial" w:eastAsia="楷体_GB2312"/>
      <w:sz w:val="28"/>
    </w:rPr>
  </w:style>
  <w:style w:type="paragraph" w:styleId="16">
    <w:name w:val="Body Text First Indent"/>
    <w:basedOn w:val="15"/>
    <w:next w:val="17"/>
    <w:link w:val="424"/>
    <w:unhideWhenUsed/>
    <w:qFormat/>
    <w:uiPriority w:val="99"/>
    <w:pPr>
      <w:ind w:firstLine="420"/>
    </w:pPr>
  </w:style>
  <w:style w:type="paragraph" w:styleId="17">
    <w:name w:val="Body Text First Indent 2"/>
    <w:basedOn w:val="18"/>
    <w:next w:val="16"/>
    <w:link w:val="423"/>
    <w:qFormat/>
    <w:uiPriority w:val="0"/>
    <w:pPr>
      <w:ind w:firstLine="420"/>
    </w:pPr>
  </w:style>
  <w:style w:type="paragraph" w:styleId="18">
    <w:name w:val="Body Text Indent"/>
    <w:basedOn w:val="1"/>
    <w:next w:val="19"/>
    <w:qFormat/>
    <w:uiPriority w:val="0"/>
    <w:pPr>
      <w:spacing w:line="312" w:lineRule="atLeast"/>
      <w:ind w:firstLine="574"/>
    </w:pPr>
    <w:rPr>
      <w:rFonts w:ascii="宋体"/>
      <w:sz w:val="28"/>
    </w:rPr>
  </w:style>
  <w:style w:type="paragraph" w:styleId="19">
    <w:name w:val="envelope return"/>
    <w:basedOn w:val="1"/>
    <w:qFormat/>
    <w:uiPriority w:val="0"/>
    <w:rPr>
      <w:rFonts w:ascii="Arial" w:hAnsi="Arial"/>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toc 8"/>
    <w:basedOn w:val="1"/>
    <w:next w:val="1"/>
    <w:unhideWhenUsed/>
    <w:qFormat/>
    <w:uiPriority w:val="39"/>
    <w:pPr>
      <w:spacing w:after="57"/>
      <w:ind w:left="1984"/>
    </w:pPr>
  </w:style>
  <w:style w:type="paragraph" w:styleId="23">
    <w:name w:val="Date"/>
    <w:basedOn w:val="1"/>
    <w:next w:val="1"/>
    <w:qFormat/>
    <w:uiPriority w:val="0"/>
    <w:pPr>
      <w:spacing w:line="312" w:lineRule="atLeast"/>
    </w:pPr>
    <w:rPr>
      <w:rFonts w:ascii="宋体"/>
      <w:sz w:val="28"/>
    </w:rPr>
  </w:style>
  <w:style w:type="paragraph" w:styleId="24">
    <w:name w:val="Body Text Indent 2"/>
    <w:basedOn w:val="1"/>
    <w:link w:val="455"/>
    <w:semiHidden/>
    <w:unhideWhenUsed/>
    <w:qFormat/>
    <w:uiPriority w:val="99"/>
    <w:pPr>
      <w:spacing w:after="120" w:line="480" w:lineRule="auto"/>
      <w:ind w:left="420"/>
    </w:pPr>
  </w:style>
  <w:style w:type="paragraph" w:styleId="25">
    <w:name w:val="endnote text"/>
    <w:basedOn w:val="1"/>
    <w:link w:val="243"/>
    <w:semiHidden/>
    <w:unhideWhenUsed/>
    <w:qFormat/>
    <w:uiPriority w:val="99"/>
    <w:rPr>
      <w:sz w:val="20"/>
    </w:rPr>
  </w:style>
  <w:style w:type="paragraph" w:styleId="26">
    <w:name w:val="Balloon Text"/>
    <w:basedOn w:val="1"/>
    <w:link w:val="413"/>
    <w:semiHidden/>
    <w:unhideWhenUsed/>
    <w:qFormat/>
    <w:uiPriority w:val="99"/>
    <w:rPr>
      <w:sz w:val="18"/>
      <w:szCs w:val="18"/>
    </w:rPr>
  </w:style>
  <w:style w:type="paragraph" w:styleId="27">
    <w:name w:val="footer"/>
    <w:basedOn w:val="1"/>
    <w:link w:val="135"/>
    <w:unhideWhenUsed/>
    <w:qFormat/>
    <w:uiPriority w:val="99"/>
    <w:pPr>
      <w:tabs>
        <w:tab w:val="center" w:pos="7143"/>
        <w:tab w:val="right" w:pos="14287"/>
      </w:tabs>
    </w:pPr>
  </w:style>
  <w:style w:type="paragraph" w:styleId="28">
    <w:name w:val="header"/>
    <w:basedOn w:val="1"/>
    <w:link w:val="133"/>
    <w:unhideWhenUsed/>
    <w:qFormat/>
    <w:uiPriority w:val="99"/>
    <w:pPr>
      <w:tabs>
        <w:tab w:val="center" w:pos="7143"/>
        <w:tab w:val="right" w:pos="14287"/>
      </w:tabs>
    </w:pPr>
  </w:style>
  <w:style w:type="paragraph" w:styleId="29">
    <w:name w:val="Signature"/>
    <w:basedOn w:val="1"/>
    <w:qFormat/>
    <w:uiPriority w:val="0"/>
    <w:pPr>
      <w:spacing w:after="600" w:line="312" w:lineRule="atLeast"/>
      <w:jc w:val="center"/>
    </w:pPr>
    <w:rPr>
      <w:rFonts w:eastAsia="仿宋_GB2312"/>
      <w:sz w:val="24"/>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456"/>
    <w:qFormat/>
    <w:uiPriority w:val="11"/>
    <w:pPr>
      <w:spacing w:before="200" w:after="200"/>
    </w:pPr>
    <w:rPr>
      <w:sz w:val="24"/>
      <w:szCs w:val="24"/>
    </w:rPr>
  </w:style>
  <w:style w:type="paragraph" w:styleId="33">
    <w:name w:val="footnote text"/>
    <w:basedOn w:val="1"/>
    <w:link w:val="242"/>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Body Text Indent 3"/>
    <w:basedOn w:val="1"/>
    <w:link w:val="458"/>
    <w:semiHidden/>
    <w:unhideWhenUsed/>
    <w:qFormat/>
    <w:uiPriority w:val="99"/>
    <w:pPr>
      <w:spacing w:after="120"/>
      <w:ind w:left="420"/>
    </w:pPr>
    <w:rPr>
      <w:sz w:val="16"/>
    </w:rPr>
  </w:style>
  <w:style w:type="paragraph" w:styleId="36">
    <w:name w:val="table of figures"/>
    <w:basedOn w:val="1"/>
    <w:next w:val="1"/>
    <w:unhideWhenUsed/>
    <w:qFormat/>
    <w:uiPriority w:val="99"/>
  </w:style>
  <w:style w:type="paragraph" w:styleId="37">
    <w:name w:val="toc 2"/>
    <w:basedOn w:val="1"/>
    <w:next w:val="1"/>
    <w:unhideWhenUsed/>
    <w:qFormat/>
    <w:uiPriority w:val="39"/>
    <w:pPr>
      <w:spacing w:after="57"/>
      <w:ind w:left="283"/>
    </w:pPr>
  </w:style>
  <w:style w:type="paragraph" w:styleId="38">
    <w:name w:val="toc 9"/>
    <w:basedOn w:val="1"/>
    <w:next w:val="1"/>
    <w:unhideWhenUsed/>
    <w:qFormat/>
    <w:uiPriority w:val="39"/>
    <w:pPr>
      <w:spacing w:after="57"/>
      <w:ind w:left="2268"/>
    </w:pPr>
  </w:style>
  <w:style w:type="paragraph" w:styleId="39">
    <w:name w:val="Normal (Web)"/>
    <w:basedOn w:val="1"/>
    <w:link w:val="460"/>
    <w:semiHidden/>
    <w:unhideWhenUsed/>
    <w:qFormat/>
    <w:uiPriority w:val="99"/>
    <w:pPr>
      <w:widowControl/>
      <w:spacing w:before="100" w:beforeAutospacing="1" w:after="100" w:afterAutospacing="1"/>
      <w:jc w:val="left"/>
    </w:pPr>
    <w:rPr>
      <w:rFonts w:ascii="宋体" w:hAnsi="宋体" w:cs="宋体"/>
      <w:sz w:val="24"/>
      <w:szCs w:val="24"/>
    </w:rPr>
  </w:style>
  <w:style w:type="paragraph" w:styleId="40">
    <w:name w:val="Title"/>
    <w:basedOn w:val="1"/>
    <w:next w:val="1"/>
    <w:link w:val="127"/>
    <w:qFormat/>
    <w:uiPriority w:val="10"/>
    <w:pPr>
      <w:spacing w:before="300" w:after="200"/>
      <w:contextualSpacing/>
    </w:pPr>
    <w:rPr>
      <w:sz w:val="48"/>
      <w:szCs w:val="48"/>
    </w:rPr>
  </w:style>
  <w:style w:type="paragraph" w:styleId="41">
    <w:name w:val="annotation subject"/>
    <w:basedOn w:val="14"/>
    <w:next w:val="14"/>
    <w:link w:val="412"/>
    <w:semiHidden/>
    <w:unhideWhenUsed/>
    <w:qFormat/>
    <w:uiPriority w:val="99"/>
    <w:rPr>
      <w:b/>
      <w:bCs/>
    </w:rPr>
  </w:style>
  <w:style w:type="table" w:styleId="43">
    <w:name w:val="Table Grid"/>
    <w:basedOn w:val="4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endnote reference"/>
    <w:semiHidden/>
    <w:unhideWhenUsed/>
    <w:qFormat/>
    <w:uiPriority w:val="99"/>
    <w:rPr>
      <w:vertAlign w:val="superscript"/>
    </w:rPr>
  </w:style>
  <w:style w:type="character" w:styleId="46">
    <w:name w:val="FollowedHyperlink"/>
    <w:basedOn w:val="44"/>
    <w:semiHidden/>
    <w:unhideWhenUsed/>
    <w:qFormat/>
    <w:uiPriority w:val="99"/>
    <w:rPr>
      <w:color w:val="800080"/>
      <w:u w:val="single"/>
    </w:rPr>
  </w:style>
  <w:style w:type="character" w:styleId="47">
    <w:name w:val="HTML Definition"/>
    <w:basedOn w:val="44"/>
    <w:semiHidden/>
    <w:unhideWhenUsed/>
    <w:qFormat/>
    <w:uiPriority w:val="99"/>
    <w:rPr>
      <w:rFonts w:hint="default" w:ascii="Times New Roman" w:hAnsi="Times New Roman" w:cs="Times New Roman"/>
    </w:rPr>
  </w:style>
  <w:style w:type="character" w:styleId="48">
    <w:name w:val="HTML Typewriter"/>
    <w:basedOn w:val="44"/>
    <w:semiHidden/>
    <w:unhideWhenUsed/>
    <w:qFormat/>
    <w:uiPriority w:val="99"/>
    <w:rPr>
      <w:rFonts w:hint="default" w:ascii="monospace" w:hAnsi="monospace" w:eastAsia="Times New Roman" w:cs="monospace"/>
      <w:sz w:val="20"/>
    </w:rPr>
  </w:style>
  <w:style w:type="character" w:styleId="49">
    <w:name w:val="HTML Acronym"/>
    <w:basedOn w:val="44"/>
    <w:semiHidden/>
    <w:unhideWhenUsed/>
    <w:qFormat/>
    <w:uiPriority w:val="99"/>
    <w:rPr>
      <w:rFonts w:hint="default" w:ascii="Times New Roman" w:hAnsi="Times New Roman" w:cs="Times New Roman"/>
    </w:rPr>
  </w:style>
  <w:style w:type="character" w:styleId="50">
    <w:name w:val="HTML Variable"/>
    <w:basedOn w:val="44"/>
    <w:semiHidden/>
    <w:unhideWhenUsed/>
    <w:qFormat/>
    <w:uiPriority w:val="99"/>
    <w:rPr>
      <w:rFonts w:hint="default" w:ascii="Times New Roman" w:hAnsi="Times New Roman" w:cs="Times New Roman"/>
    </w:rPr>
  </w:style>
  <w:style w:type="character" w:styleId="51">
    <w:name w:val="Hyperlink"/>
    <w:unhideWhenUsed/>
    <w:qFormat/>
    <w:uiPriority w:val="99"/>
    <w:rPr>
      <w:color w:val="0000FF" w:themeColor="hyperlink"/>
      <w:u w:val="single"/>
      <w14:textFill>
        <w14:solidFill>
          <w14:schemeClr w14:val="hlink"/>
        </w14:solidFill>
      </w14:textFill>
    </w:rPr>
  </w:style>
  <w:style w:type="character" w:styleId="52">
    <w:name w:val="HTML Code"/>
    <w:basedOn w:val="44"/>
    <w:semiHidden/>
    <w:unhideWhenUsed/>
    <w:qFormat/>
    <w:uiPriority w:val="99"/>
    <w:rPr>
      <w:rFonts w:hint="default" w:ascii="monospace" w:hAnsi="monospace" w:eastAsia="Times New Roman" w:cs="monospace"/>
      <w:sz w:val="20"/>
    </w:rPr>
  </w:style>
  <w:style w:type="character" w:styleId="53">
    <w:name w:val="annotation reference"/>
    <w:basedOn w:val="44"/>
    <w:semiHidden/>
    <w:unhideWhenUsed/>
    <w:qFormat/>
    <w:uiPriority w:val="99"/>
    <w:rPr>
      <w:sz w:val="21"/>
      <w:szCs w:val="21"/>
    </w:rPr>
  </w:style>
  <w:style w:type="character" w:styleId="54">
    <w:name w:val="HTML Cite"/>
    <w:basedOn w:val="44"/>
    <w:semiHidden/>
    <w:unhideWhenUsed/>
    <w:qFormat/>
    <w:uiPriority w:val="99"/>
    <w:rPr>
      <w:rFonts w:hint="default" w:ascii="Times New Roman" w:hAnsi="Times New Roman" w:cs="Times New Roman"/>
    </w:rPr>
  </w:style>
  <w:style w:type="character" w:styleId="55">
    <w:name w:val="footnote reference"/>
    <w:unhideWhenUsed/>
    <w:qFormat/>
    <w:uiPriority w:val="99"/>
    <w:rPr>
      <w:vertAlign w:val="superscript"/>
    </w:rPr>
  </w:style>
  <w:style w:type="character" w:styleId="56">
    <w:name w:val="HTML Keyboard"/>
    <w:basedOn w:val="44"/>
    <w:semiHidden/>
    <w:unhideWhenUsed/>
    <w:qFormat/>
    <w:uiPriority w:val="99"/>
    <w:rPr>
      <w:rFonts w:hint="default" w:ascii="monospace" w:hAnsi="monospace" w:eastAsia="Times New Roman" w:cs="monospace"/>
      <w:sz w:val="20"/>
    </w:rPr>
  </w:style>
  <w:style w:type="character" w:styleId="57">
    <w:name w:val="HTML Sample"/>
    <w:basedOn w:val="44"/>
    <w:semiHidden/>
    <w:unhideWhenUsed/>
    <w:qFormat/>
    <w:uiPriority w:val="99"/>
    <w:rPr>
      <w:rFonts w:hint="default" w:ascii="monospace" w:hAnsi="monospace" w:eastAsia="Times New Roman" w:cs="monospace"/>
    </w:rPr>
  </w:style>
  <w:style w:type="table" w:customStyle="1" w:styleId="58">
    <w:name w:val="Plain Table 1"/>
    <w:basedOn w:val="42"/>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4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42"/>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42"/>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42"/>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42"/>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4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42"/>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4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42"/>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42"/>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42"/>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4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42"/>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42"/>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42"/>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42"/>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7">
    <w:name w:val="TOC Heading"/>
    <w:unhideWhenUsed/>
    <w:qFormat/>
    <w:uiPriority w:val="39"/>
    <w:rPr>
      <w:rFonts w:hint="default" w:ascii="Times New Roman" w:hAnsi="Times New Roman" w:eastAsia="宋体" w:cs="Times New Roman"/>
    </w:rPr>
  </w:style>
  <w:style w:type="character" w:customStyle="1" w:styleId="78">
    <w:name w:val="标题 8 字符"/>
    <w:link w:val="9"/>
    <w:qFormat/>
    <w:uiPriority w:val="9"/>
    <w:rPr>
      <w:rFonts w:ascii="Arial" w:hAnsi="Arial" w:eastAsia="Arial" w:cs="Arial"/>
      <w:i/>
      <w:iCs/>
      <w:sz w:val="22"/>
      <w:szCs w:val="22"/>
    </w:rPr>
  </w:style>
  <w:style w:type="character" w:customStyle="1" w:styleId="79">
    <w:name w:val="标题 6 字符"/>
    <w:qFormat/>
    <w:uiPriority w:val="9"/>
    <w:rPr>
      <w:rFonts w:ascii="Arial" w:hAnsi="Arial" w:eastAsia="Arial" w:cs="Arial"/>
      <w:b/>
      <w:bCs/>
      <w:sz w:val="22"/>
      <w:szCs w:val="22"/>
    </w:rPr>
  </w:style>
  <w:style w:type="character" w:customStyle="1" w:styleId="80">
    <w:name w:val="标题 2 字符"/>
    <w:qFormat/>
    <w:uiPriority w:val="9"/>
    <w:rPr>
      <w:rFonts w:eastAsia="楷体_GB2312"/>
      <w:b/>
      <w:bCs/>
      <w:sz w:val="28"/>
      <w:szCs w:val="28"/>
    </w:rPr>
  </w:style>
  <w:style w:type="character" w:customStyle="1" w:styleId="81">
    <w:name w:val="Heading 1 Char"/>
    <w:basedOn w:val="44"/>
    <w:qFormat/>
    <w:uiPriority w:val="9"/>
    <w:rPr>
      <w:rFonts w:ascii="Arial" w:hAnsi="Arial" w:eastAsia="Arial" w:cs="Arial"/>
      <w:sz w:val="40"/>
      <w:szCs w:val="40"/>
    </w:rPr>
  </w:style>
  <w:style w:type="character" w:customStyle="1" w:styleId="82">
    <w:name w:val="Heading 2 Char"/>
    <w:basedOn w:val="44"/>
    <w:qFormat/>
    <w:uiPriority w:val="9"/>
    <w:rPr>
      <w:rFonts w:ascii="Arial" w:hAnsi="Arial" w:eastAsia="Arial" w:cs="Arial"/>
      <w:sz w:val="34"/>
    </w:rPr>
  </w:style>
  <w:style w:type="character" w:customStyle="1" w:styleId="83">
    <w:name w:val="Heading 3 Char"/>
    <w:basedOn w:val="44"/>
    <w:qFormat/>
    <w:uiPriority w:val="9"/>
    <w:rPr>
      <w:rFonts w:ascii="Arial" w:hAnsi="Arial" w:eastAsia="Arial" w:cs="Arial"/>
      <w:sz w:val="30"/>
      <w:szCs w:val="30"/>
    </w:rPr>
  </w:style>
  <w:style w:type="character" w:customStyle="1" w:styleId="84">
    <w:name w:val="Heading 4 Char"/>
    <w:basedOn w:val="44"/>
    <w:qFormat/>
    <w:uiPriority w:val="9"/>
    <w:rPr>
      <w:rFonts w:ascii="Arial" w:hAnsi="Arial" w:eastAsia="Arial" w:cs="Arial"/>
      <w:b/>
      <w:bCs/>
      <w:sz w:val="26"/>
      <w:szCs w:val="26"/>
    </w:rPr>
  </w:style>
  <w:style w:type="character" w:customStyle="1" w:styleId="85">
    <w:name w:val="Heading 5 Char"/>
    <w:basedOn w:val="44"/>
    <w:qFormat/>
    <w:uiPriority w:val="9"/>
    <w:rPr>
      <w:rFonts w:ascii="Arial" w:hAnsi="Arial" w:eastAsia="Arial" w:cs="Arial"/>
      <w:b/>
      <w:bCs/>
      <w:sz w:val="24"/>
      <w:szCs w:val="24"/>
    </w:rPr>
  </w:style>
  <w:style w:type="character" w:customStyle="1" w:styleId="86">
    <w:name w:val="Heading 6 Char"/>
    <w:basedOn w:val="44"/>
    <w:qFormat/>
    <w:uiPriority w:val="9"/>
    <w:rPr>
      <w:rFonts w:ascii="Arial" w:hAnsi="Arial" w:eastAsia="Arial" w:cs="Arial"/>
      <w:b/>
      <w:bCs/>
      <w:sz w:val="22"/>
      <w:szCs w:val="22"/>
    </w:rPr>
  </w:style>
  <w:style w:type="character" w:customStyle="1" w:styleId="87">
    <w:name w:val="Heading 7 Char"/>
    <w:basedOn w:val="44"/>
    <w:qFormat/>
    <w:uiPriority w:val="9"/>
    <w:rPr>
      <w:rFonts w:ascii="Arial" w:hAnsi="Arial" w:eastAsia="Arial" w:cs="Arial"/>
      <w:b/>
      <w:bCs/>
      <w:i/>
      <w:iCs/>
      <w:sz w:val="22"/>
      <w:szCs w:val="22"/>
    </w:rPr>
  </w:style>
  <w:style w:type="character" w:customStyle="1" w:styleId="88">
    <w:name w:val="Heading 8 Char"/>
    <w:basedOn w:val="44"/>
    <w:qFormat/>
    <w:uiPriority w:val="9"/>
    <w:rPr>
      <w:rFonts w:ascii="Arial" w:hAnsi="Arial" w:eastAsia="Arial" w:cs="Arial"/>
      <w:i/>
      <w:iCs/>
      <w:sz w:val="22"/>
      <w:szCs w:val="22"/>
    </w:rPr>
  </w:style>
  <w:style w:type="character" w:customStyle="1" w:styleId="89">
    <w:name w:val="Heading 9 Char"/>
    <w:basedOn w:val="44"/>
    <w:qFormat/>
    <w:uiPriority w:val="9"/>
    <w:rPr>
      <w:rFonts w:ascii="Arial" w:hAnsi="Arial" w:eastAsia="Arial" w:cs="Arial"/>
      <w:i/>
      <w:iCs/>
      <w:sz w:val="21"/>
      <w:szCs w:val="21"/>
    </w:rPr>
  </w:style>
  <w:style w:type="character" w:customStyle="1" w:styleId="90">
    <w:name w:val="Title Char"/>
    <w:basedOn w:val="44"/>
    <w:qFormat/>
    <w:uiPriority w:val="10"/>
    <w:rPr>
      <w:sz w:val="48"/>
      <w:szCs w:val="48"/>
    </w:rPr>
  </w:style>
  <w:style w:type="character" w:customStyle="1" w:styleId="91">
    <w:name w:val="Subtitle Char"/>
    <w:basedOn w:val="44"/>
    <w:qFormat/>
    <w:uiPriority w:val="11"/>
    <w:rPr>
      <w:sz w:val="24"/>
      <w:szCs w:val="24"/>
    </w:rPr>
  </w:style>
  <w:style w:type="character" w:customStyle="1" w:styleId="92">
    <w:name w:val="Quote Char"/>
    <w:qFormat/>
    <w:uiPriority w:val="29"/>
    <w:rPr>
      <w:i/>
    </w:rPr>
  </w:style>
  <w:style w:type="character" w:customStyle="1" w:styleId="93">
    <w:name w:val="Intense Quote Char"/>
    <w:qFormat/>
    <w:uiPriority w:val="30"/>
    <w:rPr>
      <w:i/>
    </w:rPr>
  </w:style>
  <w:style w:type="character" w:customStyle="1" w:styleId="94">
    <w:name w:val="Header Char"/>
    <w:basedOn w:val="44"/>
    <w:qFormat/>
    <w:uiPriority w:val="99"/>
  </w:style>
  <w:style w:type="character" w:customStyle="1" w:styleId="95">
    <w:name w:val="Caption Char"/>
    <w:qFormat/>
    <w:uiPriority w:val="99"/>
  </w:style>
  <w:style w:type="table" w:customStyle="1" w:styleId="96">
    <w:name w:val="无格式表格 11"/>
    <w:basedOn w:val="4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7">
    <w:name w:val="无格式表格 21"/>
    <w:basedOn w:val="4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8">
    <w:name w:val="无格式表格 31"/>
    <w:basedOn w:val="42"/>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无格式表格 41"/>
    <w:basedOn w:val="42"/>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51"/>
    <w:basedOn w:val="42"/>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网格表 1 浅色1"/>
    <w:basedOn w:val="4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2">
    <w:name w:val="网格表 2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网格表 31"/>
    <w:basedOn w:val="4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网格表 41"/>
    <w:basedOn w:val="4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网格表 5 深色1"/>
    <w:basedOn w:val="4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网格表 6 彩色1"/>
    <w:basedOn w:val="4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网格表 7 彩色1"/>
    <w:basedOn w:val="4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清单表 1 浅色1"/>
    <w:basedOn w:val="42"/>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清单表 21"/>
    <w:basedOn w:val="4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清单表 3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11">
    <w:name w:val="清单表 41"/>
    <w:basedOn w:val="4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2">
    <w:name w:val="清单表 5 深色1"/>
    <w:basedOn w:val="4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3">
    <w:name w:val="清单表 6 彩色1"/>
    <w:basedOn w:val="42"/>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4">
    <w:name w:val="清单表 7 彩色1"/>
    <w:basedOn w:val="42"/>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115">
    <w:name w:val="Footnote Text Char"/>
    <w:qFormat/>
    <w:uiPriority w:val="99"/>
    <w:rPr>
      <w:sz w:val="18"/>
    </w:rPr>
  </w:style>
  <w:style w:type="character" w:customStyle="1" w:styleId="116">
    <w:name w:val="Endnote Text Char"/>
    <w:qFormat/>
    <w:uiPriority w:val="99"/>
    <w:rPr>
      <w:sz w:val="20"/>
    </w:rPr>
  </w:style>
  <w:style w:type="paragraph" w:customStyle="1" w:styleId="117">
    <w:name w:val="TOC 标题1"/>
    <w:unhideWhenUsed/>
    <w:qFormat/>
    <w:uiPriority w:val="39"/>
    <w:rPr>
      <w:rFonts w:hint="default" w:ascii="Times New Roman" w:hAnsi="Times New Roman" w:eastAsia="宋体" w:cs="Times New Roman"/>
      <w:lang w:val="en-US" w:eastAsia="zh-CN" w:bidi="ar-SA"/>
    </w:rPr>
  </w:style>
  <w:style w:type="character" w:customStyle="1" w:styleId="118">
    <w:name w:val="标题 1 字符1"/>
    <w:link w:val="3"/>
    <w:qFormat/>
    <w:uiPriority w:val="9"/>
    <w:rPr>
      <w:rFonts w:ascii="Arial" w:hAnsi="Arial" w:eastAsia="Arial" w:cs="Arial"/>
      <w:sz w:val="40"/>
      <w:szCs w:val="40"/>
    </w:rPr>
  </w:style>
  <w:style w:type="character" w:customStyle="1" w:styleId="119">
    <w:name w:val="标题 2 字符3"/>
    <w:link w:val="2"/>
    <w:qFormat/>
    <w:uiPriority w:val="9"/>
    <w:rPr>
      <w:rFonts w:ascii="Arial" w:hAnsi="Arial" w:eastAsia="Arial" w:cs="Arial"/>
      <w:sz w:val="34"/>
    </w:rPr>
  </w:style>
  <w:style w:type="character" w:customStyle="1" w:styleId="120">
    <w:name w:val="标题 3 字符"/>
    <w:link w:val="4"/>
    <w:qFormat/>
    <w:uiPriority w:val="9"/>
    <w:rPr>
      <w:rFonts w:ascii="Arial" w:hAnsi="Arial" w:eastAsia="Arial" w:cs="Arial"/>
      <w:sz w:val="30"/>
      <w:szCs w:val="30"/>
    </w:rPr>
  </w:style>
  <w:style w:type="character" w:customStyle="1" w:styleId="121">
    <w:name w:val="标题 4 字符"/>
    <w:qFormat/>
    <w:uiPriority w:val="9"/>
    <w:rPr>
      <w:rFonts w:ascii="Arial" w:hAnsi="Arial" w:eastAsia="Arial" w:cs="Arial"/>
      <w:b/>
      <w:bCs/>
      <w:sz w:val="26"/>
      <w:szCs w:val="26"/>
    </w:rPr>
  </w:style>
  <w:style w:type="character" w:customStyle="1" w:styleId="122">
    <w:name w:val="标题 5 字符"/>
    <w:qFormat/>
    <w:uiPriority w:val="9"/>
    <w:rPr>
      <w:rFonts w:ascii="Arial" w:hAnsi="Arial" w:eastAsia="Arial" w:cs="Arial"/>
      <w:b/>
      <w:bCs/>
      <w:sz w:val="24"/>
      <w:szCs w:val="24"/>
    </w:rPr>
  </w:style>
  <w:style w:type="character" w:customStyle="1" w:styleId="123">
    <w:name w:val="标题 7 字符"/>
    <w:link w:val="8"/>
    <w:qFormat/>
    <w:uiPriority w:val="9"/>
    <w:rPr>
      <w:rFonts w:ascii="Arial" w:hAnsi="Arial" w:eastAsia="Arial" w:cs="Arial"/>
      <w:b/>
      <w:bCs/>
      <w:i/>
      <w:iCs/>
      <w:sz w:val="22"/>
      <w:szCs w:val="22"/>
    </w:rPr>
  </w:style>
  <w:style w:type="character" w:customStyle="1" w:styleId="124">
    <w:name w:val="标题 9 字符"/>
    <w:link w:val="10"/>
    <w:qFormat/>
    <w:uiPriority w:val="9"/>
    <w:rPr>
      <w:rFonts w:ascii="Arial" w:hAnsi="Arial" w:eastAsia="Arial" w:cs="Arial"/>
      <w:i/>
      <w:iCs/>
      <w:sz w:val="21"/>
      <w:szCs w:val="21"/>
    </w:rPr>
  </w:style>
  <w:style w:type="paragraph" w:styleId="125">
    <w:name w:val="List Paragraph"/>
    <w:basedOn w:val="1"/>
    <w:qFormat/>
    <w:uiPriority w:val="34"/>
    <w:pPr>
      <w:ind w:left="720"/>
      <w:contextualSpacing/>
    </w:pPr>
  </w:style>
  <w:style w:type="paragraph" w:styleId="126">
    <w:name w:val="No Spacing"/>
    <w:qFormat/>
    <w:uiPriority w:val="1"/>
    <w:rPr>
      <w:rFonts w:hint="default" w:ascii="Calibri" w:hAnsi="Calibri" w:eastAsia="宋体" w:cs="Times New Roman"/>
      <w:lang w:val="en-US" w:eastAsia="zh-CN" w:bidi="ar-SA"/>
    </w:rPr>
  </w:style>
  <w:style w:type="character" w:customStyle="1" w:styleId="127">
    <w:name w:val="标题 字符"/>
    <w:link w:val="40"/>
    <w:qFormat/>
    <w:uiPriority w:val="10"/>
    <w:rPr>
      <w:sz w:val="48"/>
      <w:szCs w:val="48"/>
    </w:rPr>
  </w:style>
  <w:style w:type="character" w:customStyle="1" w:styleId="128">
    <w:name w:val="副标题 字符"/>
    <w:qFormat/>
    <w:uiPriority w:val="11"/>
    <w:rPr>
      <w:sz w:val="24"/>
      <w:szCs w:val="24"/>
    </w:rPr>
  </w:style>
  <w:style w:type="paragraph" w:styleId="129">
    <w:name w:val="Quote"/>
    <w:basedOn w:val="1"/>
    <w:next w:val="1"/>
    <w:link w:val="130"/>
    <w:qFormat/>
    <w:uiPriority w:val="29"/>
    <w:pPr>
      <w:ind w:left="720" w:right="720"/>
    </w:pPr>
    <w:rPr>
      <w:i/>
    </w:rPr>
  </w:style>
  <w:style w:type="character" w:customStyle="1" w:styleId="130">
    <w:name w:val="引用 字符"/>
    <w:link w:val="129"/>
    <w:qFormat/>
    <w:uiPriority w:val="29"/>
    <w:rPr>
      <w:i/>
    </w:rPr>
  </w:style>
  <w:style w:type="paragraph" w:styleId="131">
    <w:name w:val="Intense Quote"/>
    <w:basedOn w:val="1"/>
    <w:next w:val="1"/>
    <w:link w:val="13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32">
    <w:name w:val="明显引用 字符"/>
    <w:link w:val="131"/>
    <w:qFormat/>
    <w:uiPriority w:val="30"/>
    <w:rPr>
      <w:i/>
    </w:rPr>
  </w:style>
  <w:style w:type="character" w:customStyle="1" w:styleId="133">
    <w:name w:val="页眉 字符"/>
    <w:link w:val="28"/>
    <w:qFormat/>
    <w:uiPriority w:val="99"/>
  </w:style>
  <w:style w:type="character" w:customStyle="1" w:styleId="134">
    <w:name w:val="Footer Char"/>
    <w:qFormat/>
    <w:uiPriority w:val="99"/>
  </w:style>
  <w:style w:type="character" w:customStyle="1" w:styleId="135">
    <w:name w:val="页脚 字符"/>
    <w:link w:val="27"/>
    <w:qFormat/>
    <w:uiPriority w:val="99"/>
  </w:style>
  <w:style w:type="table" w:customStyle="1" w:styleId="13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3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3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3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4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4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4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4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4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5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5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5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5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5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5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6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6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6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6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6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6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6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6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8">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9">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0">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1">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2">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73">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74">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76">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78">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7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8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8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8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8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8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8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92">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93">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94">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95">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96">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9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9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9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20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20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20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20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20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20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20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20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20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20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1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1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1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2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2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3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3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3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3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3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3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3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3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4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4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42">
    <w:name w:val="脚注文本 字符1"/>
    <w:link w:val="33"/>
    <w:qFormat/>
    <w:uiPriority w:val="99"/>
    <w:rPr>
      <w:sz w:val="18"/>
    </w:rPr>
  </w:style>
  <w:style w:type="character" w:customStyle="1" w:styleId="243">
    <w:name w:val="尾注文本 字符"/>
    <w:link w:val="25"/>
    <w:qFormat/>
    <w:uiPriority w:val="99"/>
    <w:rPr>
      <w:sz w:val="20"/>
    </w:rPr>
  </w:style>
  <w:style w:type="paragraph" w:customStyle="1" w:styleId="244">
    <w:name w:val="TOC 标题111"/>
    <w:unhideWhenUsed/>
    <w:qFormat/>
    <w:uiPriority w:val="39"/>
    <w:rPr>
      <w:rFonts w:hint="default" w:ascii="Calibri" w:hAnsi="Calibri" w:eastAsia="宋体" w:cs="Times New Roman"/>
      <w:lang w:val="en-US" w:eastAsia="zh-CN" w:bidi="ar-SA"/>
    </w:rPr>
  </w:style>
  <w:style w:type="paragraph" w:customStyle="1" w:styleId="245">
    <w:name w:val="标题 11"/>
    <w:basedOn w:val="1"/>
    <w:next w:val="1"/>
    <w:link w:val="257"/>
    <w:qFormat/>
    <w:uiPriority w:val="9"/>
    <w:pPr>
      <w:keepNext/>
      <w:jc w:val="center"/>
      <w:outlineLvl w:val="0"/>
    </w:pPr>
    <w:rPr>
      <w:rFonts w:ascii="楷体_GB2312" w:hAnsi="Times New Roman" w:eastAsia="楷体_GB2312"/>
      <w:sz w:val="28"/>
      <w:szCs w:val="28"/>
    </w:rPr>
  </w:style>
  <w:style w:type="paragraph" w:customStyle="1" w:styleId="246">
    <w:name w:val="标题 21"/>
    <w:basedOn w:val="1"/>
    <w:next w:val="1"/>
    <w:link w:val="25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47">
    <w:name w:val="正文缩进1"/>
    <w:basedOn w:val="1"/>
    <w:link w:val="268"/>
    <w:qFormat/>
    <w:uiPriority w:val="0"/>
    <w:pPr>
      <w:ind w:firstLine="420"/>
    </w:pPr>
    <w:rPr>
      <w:szCs w:val="21"/>
    </w:rPr>
  </w:style>
  <w:style w:type="paragraph" w:customStyle="1" w:styleId="248">
    <w:name w:val="标题 31"/>
    <w:basedOn w:val="1"/>
    <w:next w:val="247"/>
    <w:link w:val="259"/>
    <w:qFormat/>
    <w:uiPriority w:val="0"/>
    <w:pPr>
      <w:keepNext/>
      <w:keepLines/>
      <w:spacing w:before="260" w:after="260" w:line="416" w:lineRule="auto"/>
      <w:outlineLvl w:val="2"/>
    </w:pPr>
    <w:rPr>
      <w:rFonts w:ascii="Times New Roman" w:hAnsi="Times New Roman"/>
      <w:b/>
      <w:bCs/>
      <w:sz w:val="32"/>
      <w:szCs w:val="32"/>
    </w:rPr>
  </w:style>
  <w:style w:type="paragraph" w:customStyle="1" w:styleId="249">
    <w:name w:val="标题 41"/>
    <w:basedOn w:val="1"/>
    <w:next w:val="1"/>
    <w:link w:val="26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50">
    <w:name w:val="标题 51"/>
    <w:basedOn w:val="1"/>
    <w:next w:val="247"/>
    <w:link w:val="261"/>
    <w:qFormat/>
    <w:uiPriority w:val="0"/>
    <w:pPr>
      <w:keepNext/>
      <w:outlineLvl w:val="4"/>
    </w:pPr>
    <w:rPr>
      <w:rFonts w:ascii="宋体" w:hAnsi="Times New Roman"/>
      <w:color w:val="000000"/>
      <w:sz w:val="28"/>
      <w:szCs w:val="28"/>
    </w:rPr>
  </w:style>
  <w:style w:type="paragraph" w:customStyle="1" w:styleId="251">
    <w:name w:val="标题 61"/>
    <w:basedOn w:val="1"/>
    <w:next w:val="1"/>
    <w:link w:val="26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52">
    <w:name w:val="标题 71"/>
    <w:basedOn w:val="1"/>
    <w:next w:val="1"/>
    <w:link w:val="263"/>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53">
    <w:name w:val="标题 81"/>
    <w:basedOn w:val="1"/>
    <w:next w:val="1"/>
    <w:link w:val="26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54">
    <w:name w:val="标题 91"/>
    <w:basedOn w:val="1"/>
    <w:next w:val="1"/>
    <w:link w:val="265"/>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55">
    <w:name w:val="默认段落字体1"/>
    <w:semiHidden/>
    <w:unhideWhenUsed/>
    <w:qFormat/>
    <w:uiPriority w:val="1"/>
  </w:style>
  <w:style w:type="table" w:customStyle="1" w:styleId="256">
    <w:name w:val="普通表格1"/>
    <w:semiHidden/>
    <w:unhideWhenUsed/>
    <w:qFormat/>
    <w:uiPriority w:val="99"/>
    <w:tblPr>
      <w:tblCellMar>
        <w:top w:w="0" w:type="dxa"/>
        <w:left w:w="0" w:type="dxa"/>
        <w:bottom w:w="0" w:type="dxa"/>
        <w:right w:w="0" w:type="dxa"/>
      </w:tblCellMar>
    </w:tblPr>
  </w:style>
  <w:style w:type="character" w:customStyle="1" w:styleId="257">
    <w:name w:val="标题 1 Char"/>
    <w:link w:val="245"/>
    <w:qFormat/>
    <w:uiPriority w:val="0"/>
    <w:rPr>
      <w:rFonts w:ascii="楷体_GB2312" w:hAnsi="Times New Roman" w:eastAsia="楷体_GB2312" w:cs="Times New Roman"/>
      <w:sz w:val="28"/>
      <w:szCs w:val="28"/>
    </w:rPr>
  </w:style>
  <w:style w:type="character" w:customStyle="1" w:styleId="258">
    <w:name w:val="标题 2 Char"/>
    <w:link w:val="246"/>
    <w:qFormat/>
    <w:uiPriority w:val="0"/>
    <w:rPr>
      <w:rFonts w:ascii="Arial" w:hAnsi="Arial" w:eastAsia="幼圆" w:cs="Arial"/>
      <w:b/>
      <w:bCs/>
      <w:sz w:val="44"/>
      <w:szCs w:val="44"/>
    </w:rPr>
  </w:style>
  <w:style w:type="character" w:customStyle="1" w:styleId="259">
    <w:name w:val="标题 3 Char"/>
    <w:link w:val="248"/>
    <w:qFormat/>
    <w:uiPriority w:val="0"/>
    <w:rPr>
      <w:rFonts w:ascii="Times New Roman" w:hAnsi="Times New Roman" w:eastAsia="宋体" w:cs="Times New Roman"/>
      <w:b/>
      <w:bCs/>
      <w:sz w:val="32"/>
      <w:szCs w:val="32"/>
    </w:rPr>
  </w:style>
  <w:style w:type="character" w:customStyle="1" w:styleId="260">
    <w:name w:val="标题 4 Char"/>
    <w:link w:val="249"/>
    <w:qFormat/>
    <w:uiPriority w:val="0"/>
    <w:rPr>
      <w:rFonts w:ascii="Arial" w:hAnsi="Arial" w:eastAsia="黑体" w:cs="Arial"/>
      <w:b/>
      <w:bCs/>
      <w:sz w:val="28"/>
      <w:szCs w:val="28"/>
    </w:rPr>
  </w:style>
  <w:style w:type="character" w:customStyle="1" w:styleId="261">
    <w:name w:val="标题 5 Char"/>
    <w:link w:val="250"/>
    <w:qFormat/>
    <w:uiPriority w:val="0"/>
    <w:rPr>
      <w:rFonts w:ascii="宋体" w:hAnsi="Times New Roman" w:eastAsia="宋体" w:cs="Times New Roman"/>
      <w:color w:val="000000"/>
      <w:sz w:val="28"/>
      <w:szCs w:val="28"/>
    </w:rPr>
  </w:style>
  <w:style w:type="character" w:customStyle="1" w:styleId="262">
    <w:name w:val="标题 6 Char"/>
    <w:link w:val="251"/>
    <w:qFormat/>
    <w:uiPriority w:val="0"/>
    <w:rPr>
      <w:rFonts w:ascii="Arial" w:hAnsi="Arial" w:eastAsia="黑体" w:cs="Times New Roman"/>
      <w:b/>
      <w:bCs/>
      <w:sz w:val="24"/>
      <w:szCs w:val="24"/>
    </w:rPr>
  </w:style>
  <w:style w:type="character" w:customStyle="1" w:styleId="263">
    <w:name w:val="标题 7 Char"/>
    <w:link w:val="252"/>
    <w:qFormat/>
    <w:uiPriority w:val="0"/>
    <w:rPr>
      <w:rFonts w:ascii="Times New Roman" w:hAnsi="Times New Roman" w:eastAsia="宋体" w:cs="Times New Roman"/>
      <w:b/>
      <w:bCs/>
      <w:sz w:val="24"/>
      <w:szCs w:val="24"/>
    </w:rPr>
  </w:style>
  <w:style w:type="character" w:customStyle="1" w:styleId="264">
    <w:name w:val="标题 8 Char"/>
    <w:link w:val="253"/>
    <w:qFormat/>
    <w:uiPriority w:val="0"/>
    <w:rPr>
      <w:rFonts w:ascii="Arial" w:hAnsi="Arial" w:eastAsia="黑体" w:cs="Times New Roman"/>
      <w:sz w:val="24"/>
      <w:szCs w:val="24"/>
    </w:rPr>
  </w:style>
  <w:style w:type="character" w:customStyle="1" w:styleId="265">
    <w:name w:val="标题 9 Char"/>
    <w:link w:val="254"/>
    <w:qFormat/>
    <w:uiPriority w:val="0"/>
    <w:rPr>
      <w:rFonts w:ascii="Arial" w:hAnsi="Arial" w:eastAsia="黑体" w:cs="Times New Roman"/>
      <w:szCs w:val="21"/>
    </w:rPr>
  </w:style>
  <w:style w:type="character" w:customStyle="1" w:styleId="266">
    <w:name w:val="访问过的超链接1"/>
    <w:qFormat/>
    <w:uiPriority w:val="0"/>
    <w:rPr>
      <w:color w:val="800080"/>
      <w:u w:val="single"/>
    </w:rPr>
  </w:style>
  <w:style w:type="character" w:customStyle="1" w:styleId="267">
    <w:name w:val="font5 Char"/>
    <w:qFormat/>
    <w:uiPriority w:val="0"/>
    <w:rPr>
      <w:rFonts w:ascii="宋体" w:hAnsi="宋体" w:eastAsia="宋体"/>
      <w:sz w:val="28"/>
      <w:szCs w:val="28"/>
      <w:lang w:val="en-US" w:eastAsia="zh-CN" w:bidi="ar-SA"/>
    </w:rPr>
  </w:style>
  <w:style w:type="character" w:customStyle="1" w:styleId="268">
    <w:name w:val="正文缩进 Char"/>
    <w:link w:val="247"/>
    <w:qFormat/>
    <w:uiPriority w:val="0"/>
    <w:rPr>
      <w:szCs w:val="21"/>
    </w:rPr>
  </w:style>
  <w:style w:type="character" w:customStyle="1" w:styleId="269">
    <w:name w:val="批注引用1"/>
    <w:qFormat/>
    <w:uiPriority w:val="0"/>
    <w:rPr>
      <w:sz w:val="21"/>
      <w:szCs w:val="21"/>
    </w:rPr>
  </w:style>
  <w:style w:type="character" w:customStyle="1" w:styleId="270">
    <w:name w:val="要点1"/>
    <w:qFormat/>
    <w:uiPriority w:val="22"/>
    <w:rPr>
      <w:b/>
      <w:bCs/>
    </w:rPr>
  </w:style>
  <w:style w:type="character" w:customStyle="1" w:styleId="271">
    <w:name w:val="超链接1"/>
    <w:qFormat/>
    <w:uiPriority w:val="99"/>
    <w:rPr>
      <w:color w:val="0000FF"/>
      <w:u w:val="single"/>
    </w:rPr>
  </w:style>
  <w:style w:type="character" w:customStyle="1" w:styleId="272">
    <w:name w:val="页码1"/>
    <w:qFormat/>
    <w:uiPriority w:val="0"/>
  </w:style>
  <w:style w:type="character" w:customStyle="1" w:styleId="273">
    <w:name w:val="二级目录 Char"/>
    <w:link w:val="274"/>
    <w:qFormat/>
    <w:uiPriority w:val="0"/>
    <w:rPr>
      <w:b/>
      <w:sz w:val="30"/>
      <w:szCs w:val="28"/>
    </w:rPr>
  </w:style>
  <w:style w:type="paragraph" w:customStyle="1" w:styleId="274">
    <w:name w:val="二级目录"/>
    <w:next w:val="1"/>
    <w:link w:val="273"/>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75">
    <w:name w:val="列出段落 Char"/>
    <w:link w:val="276"/>
    <w:qFormat/>
    <w:uiPriority w:val="0"/>
    <w:rPr>
      <w:rFonts w:ascii="Calibri" w:hAnsi="Calibri"/>
      <w:sz w:val="24"/>
      <w:szCs w:val="24"/>
      <w:lang w:eastAsia="en-US" w:bidi="en-US"/>
    </w:rPr>
  </w:style>
  <w:style w:type="paragraph" w:customStyle="1" w:styleId="276">
    <w:name w:val="列出段落1"/>
    <w:basedOn w:val="1"/>
    <w:link w:val="275"/>
    <w:qFormat/>
    <w:uiPriority w:val="0"/>
    <w:pPr>
      <w:widowControl/>
      <w:ind w:left="720"/>
      <w:contextualSpacing/>
      <w:jc w:val="left"/>
    </w:pPr>
    <w:rPr>
      <w:sz w:val="24"/>
      <w:szCs w:val="24"/>
      <w:lang w:eastAsia="en-US" w:bidi="en-US"/>
    </w:rPr>
  </w:style>
  <w:style w:type="paragraph" w:customStyle="1" w:styleId="277">
    <w:name w:val="Body Text(ch)"/>
    <w:basedOn w:val="1"/>
    <w:next w:val="278"/>
    <w:qFormat/>
    <w:uiPriority w:val="0"/>
    <w:pPr>
      <w:spacing w:after="120"/>
    </w:pPr>
    <w:rPr>
      <w:rFonts w:ascii="宋体" w:hAnsi="Arial"/>
      <w:bCs/>
      <w:iCs/>
      <w:szCs w:val="24"/>
    </w:rPr>
  </w:style>
  <w:style w:type="paragraph" w:customStyle="1" w:styleId="278">
    <w:name w:val="正文文本1"/>
    <w:basedOn w:val="1"/>
    <w:link w:val="283"/>
    <w:qFormat/>
    <w:uiPriority w:val="0"/>
    <w:rPr>
      <w:rFonts w:ascii="楷体_GB2312" w:hAnsi="Arial" w:eastAsia="楷体_GB2312"/>
      <w:sz w:val="28"/>
      <w:szCs w:val="28"/>
    </w:rPr>
  </w:style>
  <w:style w:type="paragraph" w:customStyle="1" w:styleId="279">
    <w:name w:val="目录 91"/>
    <w:basedOn w:val="1"/>
    <w:next w:val="1"/>
    <w:semiHidden/>
    <w:qFormat/>
    <w:uiPriority w:val="0"/>
    <w:pPr>
      <w:ind w:left="1680"/>
      <w:jc w:val="left"/>
    </w:pPr>
    <w:rPr>
      <w:rFonts w:ascii="Times New Roman" w:hAnsi="Times New Roman"/>
      <w:szCs w:val="21"/>
    </w:rPr>
  </w:style>
  <w:style w:type="paragraph" w:customStyle="1" w:styleId="280">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1">
    <w:name w:val="正文文本缩进 21"/>
    <w:basedOn w:val="1"/>
    <w:link w:val="282"/>
    <w:qFormat/>
    <w:uiPriority w:val="0"/>
    <w:pPr>
      <w:ind w:left="630" w:firstLine="645"/>
    </w:pPr>
    <w:rPr>
      <w:rFonts w:ascii="Arial" w:hAnsi="Arial" w:eastAsia="仿宋_GB2312" w:cs="Arial"/>
      <w:sz w:val="32"/>
      <w:szCs w:val="32"/>
    </w:rPr>
  </w:style>
  <w:style w:type="character" w:customStyle="1" w:styleId="282">
    <w:name w:val="正文文本缩进 2 Char"/>
    <w:link w:val="281"/>
    <w:qFormat/>
    <w:uiPriority w:val="0"/>
    <w:rPr>
      <w:rFonts w:ascii="Arial" w:hAnsi="Arial" w:eastAsia="仿宋_GB2312" w:cs="Arial"/>
      <w:sz w:val="32"/>
      <w:szCs w:val="32"/>
    </w:rPr>
  </w:style>
  <w:style w:type="character" w:customStyle="1" w:styleId="283">
    <w:name w:val="正文文本 Char"/>
    <w:link w:val="278"/>
    <w:qFormat/>
    <w:uiPriority w:val="0"/>
    <w:rPr>
      <w:rFonts w:ascii="楷体_GB2312" w:hAnsi="Arial" w:eastAsia="楷体_GB2312" w:cs="Times New Roman"/>
      <w:sz w:val="28"/>
      <w:szCs w:val="28"/>
    </w:rPr>
  </w:style>
  <w:style w:type="paragraph" w:customStyle="1" w:styleId="284">
    <w:name w:val="图表目录1"/>
    <w:basedOn w:val="1"/>
    <w:next w:val="1"/>
    <w:semiHidden/>
    <w:qFormat/>
    <w:uiPriority w:val="0"/>
    <w:pPr>
      <w:ind w:left="840" w:hanging="420"/>
    </w:pPr>
    <w:rPr>
      <w:rFonts w:ascii="Times New Roman" w:hAnsi="Times New Roman"/>
      <w:szCs w:val="21"/>
    </w:rPr>
  </w:style>
  <w:style w:type="paragraph" w:customStyle="1" w:styleId="28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6">
    <w:name w:val="Char"/>
    <w:basedOn w:val="1"/>
    <w:qFormat/>
    <w:uiPriority w:val="0"/>
    <w:pPr>
      <w:tabs>
        <w:tab w:val="left" w:pos="360"/>
      </w:tabs>
      <w:ind w:firstLine="200"/>
    </w:pPr>
    <w:rPr>
      <w:rFonts w:ascii="Times New Roman" w:hAnsi="Times New Roman"/>
      <w:sz w:val="28"/>
      <w:szCs w:val="30"/>
    </w:rPr>
  </w:style>
  <w:style w:type="paragraph" w:customStyle="1" w:styleId="287">
    <w:name w:val="Char1"/>
    <w:basedOn w:val="288"/>
    <w:qFormat/>
    <w:uiPriority w:val="0"/>
    <w:rPr>
      <w:rFonts w:ascii="Tahoma" w:hAnsi="Tahoma"/>
      <w:sz w:val="24"/>
      <w:szCs w:val="24"/>
    </w:rPr>
  </w:style>
  <w:style w:type="paragraph" w:customStyle="1" w:styleId="288">
    <w:name w:val="文档结构图1"/>
    <w:basedOn w:val="1"/>
    <w:link w:val="312"/>
    <w:semiHidden/>
    <w:qFormat/>
    <w:uiPriority w:val="0"/>
    <w:pPr>
      <w:shd w:val="clear" w:color="auto" w:fill="000080"/>
    </w:pPr>
    <w:rPr>
      <w:rFonts w:ascii="Times New Roman" w:hAnsi="Times New Roman"/>
      <w:szCs w:val="21"/>
    </w:rPr>
  </w:style>
  <w:style w:type="paragraph" w:customStyle="1" w:styleId="289">
    <w:name w:val="批注文字1"/>
    <w:basedOn w:val="1"/>
    <w:link w:val="290"/>
    <w:unhideWhenUsed/>
    <w:qFormat/>
    <w:uiPriority w:val="0"/>
    <w:pPr>
      <w:jc w:val="left"/>
    </w:pPr>
  </w:style>
  <w:style w:type="character" w:customStyle="1" w:styleId="290">
    <w:name w:val="批注文字 Char"/>
    <w:basedOn w:val="255"/>
    <w:link w:val="289"/>
    <w:qFormat/>
    <w:uiPriority w:val="0"/>
  </w:style>
  <w:style w:type="paragraph" w:customStyle="1" w:styleId="291">
    <w:name w:val="批注主题1"/>
    <w:basedOn w:val="289"/>
    <w:next w:val="289"/>
    <w:link w:val="292"/>
    <w:qFormat/>
    <w:uiPriority w:val="0"/>
    <w:rPr>
      <w:rFonts w:ascii="Times New Roman" w:hAnsi="Times New Roman"/>
      <w:b/>
      <w:bCs/>
      <w:szCs w:val="21"/>
    </w:rPr>
  </w:style>
  <w:style w:type="character" w:customStyle="1" w:styleId="292">
    <w:name w:val="批注主题 Char"/>
    <w:link w:val="291"/>
    <w:semiHidden/>
    <w:qFormat/>
    <w:uiPriority w:val="0"/>
    <w:rPr>
      <w:rFonts w:ascii="Times New Roman" w:hAnsi="Times New Roman" w:eastAsia="宋体" w:cs="Times New Roman"/>
      <w:b/>
      <w:bCs/>
      <w:szCs w:val="21"/>
    </w:rPr>
  </w:style>
  <w:style w:type="paragraph" w:customStyle="1" w:styleId="293">
    <w:name w:val="索引 11"/>
    <w:basedOn w:val="1"/>
    <w:next w:val="1"/>
    <w:semiHidden/>
    <w:qFormat/>
    <w:uiPriority w:val="0"/>
    <w:pPr>
      <w:spacing w:line="240" w:lineRule="atLeast"/>
    </w:pPr>
    <w:rPr>
      <w:rFonts w:ascii="Times New Roman" w:hAnsi="Times New Roman"/>
      <w:b/>
      <w:bCs/>
      <w:szCs w:val="21"/>
    </w:rPr>
  </w:style>
  <w:style w:type="paragraph" w:customStyle="1" w:styleId="294">
    <w:name w:val="普通正文"/>
    <w:basedOn w:val="1"/>
    <w:link w:val="410"/>
    <w:qFormat/>
    <w:uiPriority w:val="0"/>
    <w:pPr>
      <w:spacing w:before="120" w:after="120" w:line="360" w:lineRule="auto"/>
      <w:ind w:firstLine="480"/>
      <w:jc w:val="left"/>
    </w:pPr>
    <w:rPr>
      <w:rFonts w:ascii="Arial" w:hAnsi="Arial"/>
      <w:sz w:val="24"/>
      <w:szCs w:val="24"/>
    </w:rPr>
  </w:style>
  <w:style w:type="paragraph" w:customStyle="1" w:styleId="295">
    <w:name w:val="table_lines"/>
    <w:basedOn w:val="1"/>
    <w:qFormat/>
    <w:uiPriority w:val="0"/>
    <w:pPr>
      <w:widowControl/>
      <w:jc w:val="left"/>
    </w:pPr>
    <w:rPr>
      <w:rFonts w:ascii="Times New Roman" w:hAnsi="Times New Roman"/>
      <w:sz w:val="20"/>
      <w:szCs w:val="20"/>
      <w:lang w:val="de-DE" w:eastAsia="de-DE"/>
    </w:rPr>
  </w:style>
  <w:style w:type="paragraph" w:customStyle="1" w:styleId="296">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97">
    <w:name w:val="目录 31"/>
    <w:basedOn w:val="1"/>
    <w:next w:val="1"/>
    <w:qFormat/>
    <w:uiPriority w:val="39"/>
    <w:pPr>
      <w:ind w:left="420"/>
      <w:jc w:val="left"/>
    </w:pPr>
    <w:rPr>
      <w:rFonts w:ascii="Times New Roman" w:hAnsi="Times New Roman"/>
      <w:i/>
      <w:iCs/>
      <w:szCs w:val="24"/>
    </w:rPr>
  </w:style>
  <w:style w:type="paragraph" w:customStyle="1" w:styleId="298">
    <w:name w:val="正文文本缩进1"/>
    <w:basedOn w:val="1"/>
    <w:link w:val="299"/>
    <w:unhideWhenUsed/>
    <w:qFormat/>
    <w:uiPriority w:val="0"/>
    <w:pPr>
      <w:spacing w:after="120"/>
      <w:ind w:left="420"/>
    </w:pPr>
  </w:style>
  <w:style w:type="character" w:customStyle="1" w:styleId="299">
    <w:name w:val="正文文本缩进 Char"/>
    <w:basedOn w:val="255"/>
    <w:link w:val="298"/>
    <w:semiHidden/>
    <w:qFormat/>
    <w:uiPriority w:val="99"/>
  </w:style>
  <w:style w:type="paragraph" w:customStyle="1" w:styleId="300">
    <w:name w:val="正文首行缩进 21"/>
    <w:basedOn w:val="298"/>
    <w:link w:val="301"/>
    <w:qFormat/>
    <w:uiPriority w:val="0"/>
    <w:pPr>
      <w:spacing w:after="0" w:line="360" w:lineRule="auto"/>
      <w:ind w:left="0" w:firstLine="420"/>
    </w:pPr>
    <w:rPr>
      <w:rFonts w:ascii="宋体" w:hAnsi="宋体"/>
      <w:szCs w:val="20"/>
    </w:rPr>
  </w:style>
  <w:style w:type="character" w:customStyle="1" w:styleId="301">
    <w:name w:val="正文首行缩进 2 Char"/>
    <w:link w:val="300"/>
    <w:qFormat/>
    <w:uiPriority w:val="0"/>
    <w:rPr>
      <w:rFonts w:ascii="宋体" w:hAnsi="宋体" w:eastAsia="宋体" w:cs="Times New Roman"/>
      <w:szCs w:val="20"/>
    </w:rPr>
  </w:style>
  <w:style w:type="paragraph" w:customStyle="1" w:styleId="302">
    <w:name w:val="正文文本缩进 31"/>
    <w:basedOn w:val="1"/>
    <w:link w:val="303"/>
    <w:qFormat/>
    <w:uiPriority w:val="0"/>
    <w:pPr>
      <w:ind w:left="645" w:firstLine="645"/>
    </w:pPr>
    <w:rPr>
      <w:rFonts w:ascii="Arial" w:hAnsi="Arial" w:eastAsia="仿宋_GB2312" w:cs="Arial"/>
      <w:color w:val="FFFF00"/>
      <w:sz w:val="32"/>
      <w:szCs w:val="32"/>
    </w:rPr>
  </w:style>
  <w:style w:type="character" w:customStyle="1" w:styleId="303">
    <w:name w:val="正文文本缩进 3 Char"/>
    <w:link w:val="302"/>
    <w:qFormat/>
    <w:uiPriority w:val="0"/>
    <w:rPr>
      <w:rFonts w:ascii="Arial" w:hAnsi="Arial" w:eastAsia="仿宋_GB2312" w:cs="Arial"/>
      <w:color w:val="FFFF00"/>
      <w:sz w:val="32"/>
      <w:szCs w:val="32"/>
    </w:rPr>
  </w:style>
  <w:style w:type="paragraph" w:customStyle="1" w:styleId="304">
    <w:name w:val="目录 61"/>
    <w:basedOn w:val="1"/>
    <w:next w:val="1"/>
    <w:semiHidden/>
    <w:qFormat/>
    <w:uiPriority w:val="0"/>
    <w:pPr>
      <w:ind w:left="1050"/>
      <w:jc w:val="left"/>
    </w:pPr>
    <w:rPr>
      <w:rFonts w:ascii="Times New Roman" w:hAnsi="Times New Roman"/>
      <w:szCs w:val="21"/>
    </w:rPr>
  </w:style>
  <w:style w:type="paragraph" w:customStyle="1" w:styleId="30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6">
    <w:name w:val="Char Char Char Char"/>
    <w:basedOn w:val="288"/>
    <w:qFormat/>
    <w:uiPriority w:val="0"/>
    <w:pPr>
      <w:spacing w:line="360" w:lineRule="auto"/>
    </w:pPr>
    <w:rPr>
      <w:rFonts w:ascii="Tahoma" w:hAnsi="Tahoma"/>
      <w:sz w:val="24"/>
      <w:szCs w:val="24"/>
    </w:rPr>
  </w:style>
  <w:style w:type="paragraph" w:customStyle="1" w:styleId="307">
    <w:name w:val="正文文本 31"/>
    <w:basedOn w:val="1"/>
    <w:link w:val="308"/>
    <w:qFormat/>
    <w:uiPriority w:val="0"/>
    <w:rPr>
      <w:rFonts w:ascii="仿宋_GB2312" w:hAnsi="Arial" w:eastAsia="仿宋_GB2312"/>
      <w:sz w:val="32"/>
      <w:szCs w:val="32"/>
    </w:rPr>
  </w:style>
  <w:style w:type="character" w:customStyle="1" w:styleId="308">
    <w:name w:val="正文文本 3 Char"/>
    <w:link w:val="307"/>
    <w:qFormat/>
    <w:uiPriority w:val="0"/>
    <w:rPr>
      <w:rFonts w:ascii="仿宋_GB2312" w:hAnsi="Arial" w:eastAsia="仿宋_GB2312" w:cs="Times New Roman"/>
      <w:sz w:val="32"/>
      <w:szCs w:val="32"/>
    </w:rPr>
  </w:style>
  <w:style w:type="paragraph" w:customStyle="1" w:styleId="30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10">
    <w:name w:val="目录 41"/>
    <w:basedOn w:val="1"/>
    <w:next w:val="1"/>
    <w:semiHidden/>
    <w:qFormat/>
    <w:uiPriority w:val="0"/>
    <w:pPr>
      <w:ind w:left="630"/>
      <w:jc w:val="left"/>
    </w:pPr>
    <w:rPr>
      <w:rFonts w:ascii="Times New Roman" w:hAnsi="Times New Roman"/>
      <w:szCs w:val="21"/>
    </w:rPr>
  </w:style>
  <w:style w:type="paragraph" w:customStyle="1" w:styleId="311">
    <w:name w:val="列出段落2"/>
    <w:basedOn w:val="1"/>
    <w:link w:val="387"/>
    <w:qFormat/>
    <w:uiPriority w:val="34"/>
    <w:pPr>
      <w:widowControl/>
      <w:ind w:left="720"/>
      <w:contextualSpacing/>
      <w:jc w:val="left"/>
    </w:pPr>
    <w:rPr>
      <w:sz w:val="24"/>
      <w:szCs w:val="24"/>
      <w:lang w:eastAsia="en-US" w:bidi="en-US"/>
    </w:rPr>
  </w:style>
  <w:style w:type="character" w:customStyle="1" w:styleId="312">
    <w:name w:val="文档结构图 Char"/>
    <w:link w:val="288"/>
    <w:semiHidden/>
    <w:qFormat/>
    <w:uiPriority w:val="0"/>
    <w:rPr>
      <w:rFonts w:ascii="Times New Roman" w:hAnsi="Times New Roman" w:eastAsia="宋体" w:cs="Times New Roman"/>
      <w:szCs w:val="21"/>
      <w:shd w:val="clear" w:color="auto" w:fill="000080"/>
    </w:rPr>
  </w:style>
  <w:style w:type="paragraph" w:customStyle="1" w:styleId="313">
    <w:name w:val="4"/>
    <w:basedOn w:val="1"/>
    <w:next w:val="302"/>
    <w:qFormat/>
    <w:uiPriority w:val="0"/>
    <w:pPr>
      <w:spacing w:line="360" w:lineRule="auto"/>
      <w:ind w:firstLine="420"/>
    </w:pPr>
    <w:rPr>
      <w:rFonts w:ascii="Times New Roman" w:hAnsi="Times New Roman"/>
      <w:color w:val="FF0000"/>
      <w:sz w:val="24"/>
      <w:szCs w:val="24"/>
    </w:rPr>
  </w:style>
  <w:style w:type="paragraph" w:customStyle="1" w:styleId="31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15">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316">
    <w:name w:val="列表 21"/>
    <w:basedOn w:val="1"/>
    <w:qFormat/>
    <w:uiPriority w:val="0"/>
    <w:pPr>
      <w:ind w:left="100" w:hanging="200"/>
    </w:pPr>
    <w:rPr>
      <w:rFonts w:ascii="Times New Roman" w:hAnsi="Times New Roman"/>
      <w:szCs w:val="21"/>
    </w:rPr>
  </w:style>
  <w:style w:type="paragraph" w:customStyle="1" w:styleId="317">
    <w:name w:val="正文首行缩进1"/>
    <w:basedOn w:val="1"/>
    <w:link w:val="318"/>
    <w:qFormat/>
    <w:uiPriority w:val="0"/>
    <w:pPr>
      <w:spacing w:line="360" w:lineRule="auto"/>
      <w:ind w:firstLine="200"/>
    </w:pPr>
    <w:rPr>
      <w:rFonts w:ascii="仿宋_GB2312" w:hAnsi="Times New Roman" w:eastAsia="仿宋_GB2312"/>
      <w:sz w:val="30"/>
      <w:szCs w:val="30"/>
    </w:rPr>
  </w:style>
  <w:style w:type="character" w:customStyle="1" w:styleId="318">
    <w:name w:val="正文首行缩进 Char"/>
    <w:link w:val="317"/>
    <w:qFormat/>
    <w:uiPriority w:val="0"/>
    <w:rPr>
      <w:rFonts w:ascii="仿宋_GB2312" w:hAnsi="Times New Roman" w:eastAsia="仿宋_GB2312" w:cs="Times New Roman"/>
      <w:sz w:val="30"/>
      <w:szCs w:val="30"/>
    </w:rPr>
  </w:style>
  <w:style w:type="paragraph" w:customStyle="1" w:styleId="319">
    <w:name w:val="样式1"/>
    <w:basedOn w:val="1"/>
    <w:qFormat/>
    <w:uiPriority w:val="0"/>
    <w:pPr>
      <w:numPr>
        <w:ilvl w:val="0"/>
        <w:numId w:val="3"/>
      </w:numPr>
    </w:pPr>
    <w:rPr>
      <w:rFonts w:ascii="宋体" w:hAnsi="宋体"/>
      <w:szCs w:val="21"/>
    </w:rPr>
  </w:style>
  <w:style w:type="paragraph" w:customStyle="1" w:styleId="32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21">
    <w:name w:val="目录 51"/>
    <w:basedOn w:val="1"/>
    <w:next w:val="1"/>
    <w:semiHidden/>
    <w:qFormat/>
    <w:uiPriority w:val="0"/>
    <w:pPr>
      <w:ind w:left="840"/>
      <w:jc w:val="left"/>
    </w:pPr>
    <w:rPr>
      <w:rFonts w:ascii="Times New Roman" w:hAnsi="Times New Roman"/>
      <w:szCs w:val="21"/>
    </w:rPr>
  </w:style>
  <w:style w:type="paragraph" w:customStyle="1" w:styleId="322">
    <w:name w:val="目录 11"/>
    <w:basedOn w:val="1"/>
    <w:next w:val="1"/>
    <w:qFormat/>
    <w:uiPriority w:val="39"/>
    <w:pPr>
      <w:tabs>
        <w:tab w:val="right" w:leader="dot" w:pos="8720"/>
      </w:tabs>
      <w:spacing w:before="120" w:after="120" w:line="400" w:lineRule="exact"/>
      <w:jc w:val="left"/>
    </w:pPr>
    <w:rPr>
      <w:rFonts w:ascii="宋体" w:hAnsi="宋体"/>
      <w:caps/>
      <w:sz w:val="24"/>
      <w:szCs w:val="24"/>
    </w:rPr>
  </w:style>
  <w:style w:type="paragraph" w:customStyle="1" w:styleId="323">
    <w:name w:val="纯文本1"/>
    <w:basedOn w:val="1"/>
    <w:link w:val="324"/>
    <w:qFormat/>
    <w:uiPriority w:val="0"/>
    <w:rPr>
      <w:rFonts w:ascii="宋体" w:hAnsi="Courier New" w:cs="Courier New"/>
      <w:szCs w:val="21"/>
    </w:rPr>
  </w:style>
  <w:style w:type="character" w:customStyle="1" w:styleId="324">
    <w:name w:val="纯文本 Char"/>
    <w:link w:val="323"/>
    <w:qFormat/>
    <w:uiPriority w:val="0"/>
    <w:rPr>
      <w:rFonts w:ascii="宋体" w:hAnsi="Courier New" w:eastAsia="宋体" w:cs="Courier New"/>
      <w:szCs w:val="21"/>
    </w:rPr>
  </w:style>
  <w:style w:type="paragraph" w:customStyle="1" w:styleId="325">
    <w:name w:val="批注框文本1"/>
    <w:basedOn w:val="1"/>
    <w:link w:val="326"/>
    <w:qFormat/>
    <w:uiPriority w:val="0"/>
    <w:rPr>
      <w:rFonts w:ascii="Times New Roman" w:hAnsi="Times New Roman"/>
      <w:sz w:val="18"/>
      <w:szCs w:val="18"/>
    </w:rPr>
  </w:style>
  <w:style w:type="character" w:customStyle="1" w:styleId="326">
    <w:name w:val="批注框文本 Char"/>
    <w:link w:val="325"/>
    <w:semiHidden/>
    <w:qFormat/>
    <w:uiPriority w:val="0"/>
    <w:rPr>
      <w:rFonts w:ascii="Times New Roman" w:hAnsi="Times New Roman" w:eastAsia="宋体" w:cs="Times New Roman"/>
      <w:sz w:val="18"/>
      <w:szCs w:val="18"/>
    </w:rPr>
  </w:style>
  <w:style w:type="paragraph" w:customStyle="1" w:styleId="32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28">
    <w:name w:val="列表1"/>
    <w:basedOn w:val="1"/>
    <w:qFormat/>
    <w:uiPriority w:val="0"/>
    <w:pPr>
      <w:ind w:left="200" w:hanging="200"/>
    </w:pPr>
    <w:rPr>
      <w:rFonts w:ascii="Times New Roman" w:hAnsi="Times New Roman"/>
      <w:szCs w:val="21"/>
    </w:rPr>
  </w:style>
  <w:style w:type="paragraph" w:customStyle="1" w:styleId="32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30">
    <w:name w:val="日期1"/>
    <w:basedOn w:val="1"/>
    <w:next w:val="1"/>
    <w:link w:val="331"/>
    <w:qFormat/>
    <w:uiPriority w:val="0"/>
    <w:rPr>
      <w:rFonts w:ascii="Times New Roman" w:hAnsi="Times New Roman"/>
      <w:sz w:val="24"/>
      <w:szCs w:val="24"/>
    </w:rPr>
  </w:style>
  <w:style w:type="character" w:customStyle="1" w:styleId="331">
    <w:name w:val="日期 Char"/>
    <w:link w:val="330"/>
    <w:qFormat/>
    <w:uiPriority w:val="0"/>
    <w:rPr>
      <w:rFonts w:ascii="Times New Roman" w:hAnsi="Times New Roman" w:eastAsia="宋体" w:cs="Times New Roman"/>
      <w:sz w:val="24"/>
      <w:szCs w:val="24"/>
    </w:rPr>
  </w:style>
  <w:style w:type="paragraph" w:customStyle="1" w:styleId="332">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3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6">
    <w:name w:val="正文文本 21"/>
    <w:basedOn w:val="1"/>
    <w:link w:val="337"/>
    <w:qFormat/>
    <w:uiPriority w:val="0"/>
    <w:pPr>
      <w:widowControl/>
      <w:jc w:val="center"/>
    </w:pPr>
    <w:rPr>
      <w:rFonts w:ascii="楷体_GB2312" w:hAnsi="Times New Roman" w:eastAsia="楷体_GB2312"/>
      <w:sz w:val="28"/>
      <w:szCs w:val="28"/>
    </w:rPr>
  </w:style>
  <w:style w:type="character" w:customStyle="1" w:styleId="337">
    <w:name w:val="正文文本 2 Char"/>
    <w:link w:val="336"/>
    <w:qFormat/>
    <w:uiPriority w:val="0"/>
    <w:rPr>
      <w:rFonts w:ascii="楷体_GB2312" w:hAnsi="Times New Roman" w:eastAsia="楷体_GB2312" w:cs="Times New Roman"/>
      <w:sz w:val="28"/>
      <w:szCs w:val="28"/>
    </w:rPr>
  </w:style>
  <w:style w:type="paragraph" w:customStyle="1" w:styleId="338">
    <w:name w:val="列表 31"/>
    <w:basedOn w:val="1"/>
    <w:qFormat/>
    <w:uiPriority w:val="0"/>
    <w:pPr>
      <w:ind w:left="100" w:hanging="200"/>
    </w:pPr>
    <w:rPr>
      <w:rFonts w:ascii="Times New Roman" w:hAnsi="Times New Roman"/>
      <w:szCs w:val="21"/>
    </w:rPr>
  </w:style>
  <w:style w:type="paragraph" w:customStyle="1" w:styleId="339">
    <w:name w:val="目录 71"/>
    <w:basedOn w:val="1"/>
    <w:next w:val="1"/>
    <w:semiHidden/>
    <w:qFormat/>
    <w:uiPriority w:val="0"/>
    <w:pPr>
      <w:ind w:left="1260"/>
      <w:jc w:val="left"/>
    </w:pPr>
    <w:rPr>
      <w:rFonts w:ascii="Times New Roman" w:hAnsi="Times New Roman"/>
      <w:szCs w:val="21"/>
    </w:rPr>
  </w:style>
  <w:style w:type="paragraph" w:customStyle="1" w:styleId="340">
    <w:name w:val="目录 21"/>
    <w:basedOn w:val="1"/>
    <w:next w:val="1"/>
    <w:qFormat/>
    <w:uiPriority w:val="39"/>
    <w:pPr>
      <w:tabs>
        <w:tab w:val="right" w:pos="8719"/>
      </w:tabs>
      <w:ind w:left="210"/>
      <w:jc w:val="left"/>
    </w:pPr>
    <w:rPr>
      <w:rFonts w:ascii="Times New Roman" w:hAnsi="Times New Roman"/>
      <w:smallCaps/>
      <w:szCs w:val="24"/>
    </w:rPr>
  </w:style>
  <w:style w:type="paragraph" w:customStyle="1" w:styleId="34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2">
    <w:name w:val="页眉1"/>
    <w:basedOn w:val="1"/>
    <w:link w:val="343"/>
    <w:qFormat/>
    <w:uiPriority w:val="0"/>
    <w:pPr>
      <w:pBdr>
        <w:bottom w:val="none" w:color="000000" w:sz="0" w:space="0"/>
      </w:pBdr>
      <w:tabs>
        <w:tab w:val="center" w:pos="4153"/>
        <w:tab w:val="right" w:pos="8306"/>
      </w:tabs>
      <w:ind w:firstLine="361"/>
      <w:jc w:val="right"/>
    </w:pPr>
    <w:rPr>
      <w:rFonts w:ascii="Times New Roman" w:hAnsi="Times New Roman"/>
      <w:sz w:val="18"/>
      <w:szCs w:val="18"/>
    </w:rPr>
  </w:style>
  <w:style w:type="character" w:customStyle="1" w:styleId="343">
    <w:name w:val="页眉 Char"/>
    <w:link w:val="342"/>
    <w:qFormat/>
    <w:uiPriority w:val="0"/>
    <w:rPr>
      <w:rFonts w:ascii="Times New Roman" w:hAnsi="Times New Roman"/>
      <w:sz w:val="18"/>
      <w:szCs w:val="18"/>
    </w:rPr>
  </w:style>
  <w:style w:type="paragraph" w:customStyle="1" w:styleId="344">
    <w:name w:val="页脚1"/>
    <w:basedOn w:val="1"/>
    <w:link w:val="345"/>
    <w:qFormat/>
    <w:uiPriority w:val="0"/>
    <w:pPr>
      <w:tabs>
        <w:tab w:val="center" w:pos="4153"/>
        <w:tab w:val="right" w:pos="8306"/>
      </w:tabs>
      <w:jc w:val="left"/>
    </w:pPr>
    <w:rPr>
      <w:rFonts w:ascii="Times New Roman" w:hAnsi="Times New Roman"/>
      <w:sz w:val="18"/>
      <w:szCs w:val="18"/>
    </w:rPr>
  </w:style>
  <w:style w:type="character" w:customStyle="1" w:styleId="345">
    <w:name w:val="页脚 Char"/>
    <w:link w:val="344"/>
    <w:qFormat/>
    <w:uiPriority w:val="0"/>
    <w:rPr>
      <w:rFonts w:ascii="Times New Roman" w:hAnsi="Times New Roman" w:eastAsia="宋体" w:cs="Times New Roman"/>
      <w:sz w:val="18"/>
      <w:szCs w:val="18"/>
    </w:rPr>
  </w:style>
  <w:style w:type="paragraph" w:customStyle="1" w:styleId="346">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7">
    <w:name w:val="目录 81"/>
    <w:basedOn w:val="1"/>
    <w:next w:val="1"/>
    <w:semiHidden/>
    <w:qFormat/>
    <w:uiPriority w:val="0"/>
    <w:pPr>
      <w:ind w:left="1470"/>
      <w:jc w:val="left"/>
    </w:pPr>
    <w:rPr>
      <w:rFonts w:ascii="Times New Roman" w:hAnsi="Times New Roman"/>
      <w:szCs w:val="21"/>
    </w:rPr>
  </w:style>
  <w:style w:type="paragraph" w:customStyle="1" w:styleId="34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9">
    <w:name w:val="Char Char Char Char1"/>
    <w:basedOn w:val="288"/>
    <w:qFormat/>
    <w:uiPriority w:val="0"/>
    <w:pPr>
      <w:spacing w:line="360" w:lineRule="auto"/>
    </w:pPr>
    <w:rPr>
      <w:rFonts w:ascii="Tahoma" w:hAnsi="Tahoma"/>
      <w:sz w:val="24"/>
      <w:szCs w:val="24"/>
    </w:rPr>
  </w:style>
  <w:style w:type="paragraph" w:customStyle="1" w:styleId="350">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5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52">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353">
    <w:name w:val="修订1"/>
    <w:semiHidden/>
    <w:qFormat/>
    <w:uiPriority w:val="99"/>
    <w:rPr>
      <w:rFonts w:hint="default" w:ascii="Times New Roman" w:hAnsi="Times New Roman" w:eastAsia="宋体" w:cs="Times New Roman"/>
      <w:sz w:val="21"/>
      <w:szCs w:val="21"/>
      <w:lang w:val="en-US" w:eastAsia="zh-CN" w:bidi="ar-SA"/>
    </w:rPr>
  </w:style>
  <w:style w:type="table" w:customStyle="1" w:styleId="354">
    <w:name w:val="网格型1"/>
    <w:basedOn w:val="42"/>
    <w:qFormat/>
    <w:uiPriority w:val="0"/>
    <w:pPr>
      <w:widowControl w:val="0"/>
      <w:jc w:val="both"/>
    </w:pPr>
    <w:rPr>
      <w:rFonts w:ascii="Calibri" w:hAnsi="Calibri"/>
    </w:rPr>
  </w:style>
  <w:style w:type="paragraph" w:customStyle="1" w:styleId="355">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56">
    <w:name w:val="索引 81"/>
    <w:basedOn w:val="1"/>
    <w:next w:val="1"/>
    <w:semiHidden/>
    <w:qFormat/>
    <w:uiPriority w:val="0"/>
    <w:pPr>
      <w:ind w:left="1400"/>
    </w:pPr>
    <w:rPr>
      <w:rFonts w:ascii="Times New Roman" w:hAnsi="Times New Roman"/>
      <w:szCs w:val="20"/>
    </w:rPr>
  </w:style>
  <w:style w:type="paragraph" w:customStyle="1" w:styleId="357">
    <w:name w:val="索引 51"/>
    <w:basedOn w:val="1"/>
    <w:next w:val="1"/>
    <w:semiHidden/>
    <w:qFormat/>
    <w:uiPriority w:val="0"/>
    <w:pPr>
      <w:ind w:left="800"/>
    </w:pPr>
    <w:rPr>
      <w:rFonts w:ascii="Times New Roman" w:hAnsi="Times New Roman"/>
      <w:szCs w:val="20"/>
    </w:rPr>
  </w:style>
  <w:style w:type="paragraph" w:customStyle="1" w:styleId="358">
    <w:name w:val="索引 61"/>
    <w:basedOn w:val="1"/>
    <w:next w:val="1"/>
    <w:semiHidden/>
    <w:qFormat/>
    <w:uiPriority w:val="0"/>
    <w:pPr>
      <w:ind w:left="1000"/>
    </w:pPr>
    <w:rPr>
      <w:rFonts w:ascii="Times New Roman" w:hAnsi="Times New Roman"/>
      <w:szCs w:val="20"/>
    </w:rPr>
  </w:style>
  <w:style w:type="paragraph" w:customStyle="1" w:styleId="359">
    <w:name w:val="寄信人地址1"/>
    <w:basedOn w:val="1"/>
    <w:qFormat/>
    <w:uiPriority w:val="0"/>
    <w:rPr>
      <w:rFonts w:ascii="Arial" w:hAnsi="Arial"/>
      <w:szCs w:val="20"/>
    </w:rPr>
  </w:style>
  <w:style w:type="paragraph" w:customStyle="1" w:styleId="360">
    <w:name w:val="文本块1"/>
    <w:basedOn w:val="1"/>
    <w:qFormat/>
    <w:uiPriority w:val="0"/>
    <w:pPr>
      <w:tabs>
        <w:tab w:val="left" w:pos="822"/>
        <w:tab w:val="left" w:pos="2205"/>
        <w:tab w:val="left" w:pos="9000"/>
      </w:tabs>
      <w:spacing w:before="89"/>
      <w:ind w:left="1890" w:right="11" w:hanging="1409"/>
    </w:pPr>
    <w:rPr>
      <w:rFonts w:ascii="Times New Roman" w:hAnsi="Times New Roman"/>
      <w:sz w:val="24"/>
      <w:szCs w:val="20"/>
    </w:rPr>
  </w:style>
  <w:style w:type="paragraph" w:customStyle="1" w:styleId="361">
    <w:name w:val="索引 41"/>
    <w:basedOn w:val="1"/>
    <w:next w:val="1"/>
    <w:semiHidden/>
    <w:qFormat/>
    <w:uiPriority w:val="0"/>
    <w:pPr>
      <w:ind w:left="600"/>
    </w:pPr>
    <w:rPr>
      <w:rFonts w:ascii="Times New Roman" w:hAnsi="Times New Roman"/>
      <w:szCs w:val="20"/>
    </w:rPr>
  </w:style>
  <w:style w:type="paragraph" w:customStyle="1" w:styleId="362">
    <w:name w:val="索引 31"/>
    <w:basedOn w:val="1"/>
    <w:next w:val="1"/>
    <w:semiHidden/>
    <w:qFormat/>
    <w:uiPriority w:val="0"/>
    <w:pPr>
      <w:ind w:left="400"/>
    </w:pPr>
    <w:rPr>
      <w:rFonts w:ascii="Times New Roman" w:hAnsi="Times New Roman"/>
      <w:szCs w:val="20"/>
    </w:rPr>
  </w:style>
  <w:style w:type="paragraph" w:customStyle="1" w:styleId="363">
    <w:name w:val="签名1"/>
    <w:basedOn w:val="1"/>
    <w:link w:val="384"/>
    <w:qFormat/>
    <w:uiPriority w:val="0"/>
    <w:pPr>
      <w:spacing w:after="600" w:line="312" w:lineRule="atLeast"/>
      <w:jc w:val="center"/>
    </w:pPr>
    <w:rPr>
      <w:rFonts w:ascii="Times New Roman" w:hAnsi="Times New Roman" w:eastAsia="仿宋_GB2312"/>
      <w:sz w:val="24"/>
      <w:szCs w:val="20"/>
    </w:rPr>
  </w:style>
  <w:style w:type="character" w:customStyle="1" w:styleId="364">
    <w:name w:val="签名 字符"/>
    <w:qFormat/>
    <w:uiPriority w:val="0"/>
    <w:rPr>
      <w:sz w:val="21"/>
      <w:szCs w:val="22"/>
    </w:rPr>
  </w:style>
  <w:style w:type="paragraph" w:customStyle="1" w:styleId="365">
    <w:name w:val="索引标题1"/>
    <w:basedOn w:val="1"/>
    <w:next w:val="293"/>
    <w:semiHidden/>
    <w:qFormat/>
    <w:uiPriority w:val="0"/>
    <w:rPr>
      <w:rFonts w:ascii="Times New Roman" w:hAnsi="Times New Roman"/>
      <w:szCs w:val="20"/>
    </w:rPr>
  </w:style>
  <w:style w:type="paragraph" w:customStyle="1" w:styleId="366">
    <w:name w:val="脚注文本1"/>
    <w:basedOn w:val="1"/>
    <w:link w:val="367"/>
    <w:qFormat/>
    <w:uiPriority w:val="0"/>
    <w:pPr>
      <w:jc w:val="left"/>
    </w:pPr>
    <w:rPr>
      <w:rFonts w:ascii="Times New Roman" w:hAnsi="Times New Roman"/>
      <w:sz w:val="18"/>
      <w:szCs w:val="18"/>
    </w:rPr>
  </w:style>
  <w:style w:type="character" w:customStyle="1" w:styleId="367">
    <w:name w:val="脚注文本 字符"/>
    <w:link w:val="366"/>
    <w:qFormat/>
    <w:uiPriority w:val="0"/>
    <w:rPr>
      <w:rFonts w:ascii="Times New Roman" w:hAnsi="Times New Roman"/>
      <w:sz w:val="18"/>
      <w:szCs w:val="18"/>
    </w:rPr>
  </w:style>
  <w:style w:type="paragraph" w:customStyle="1" w:styleId="368">
    <w:name w:val="索引 71"/>
    <w:basedOn w:val="1"/>
    <w:next w:val="1"/>
    <w:semiHidden/>
    <w:qFormat/>
    <w:uiPriority w:val="0"/>
    <w:pPr>
      <w:ind w:left="1200"/>
    </w:pPr>
    <w:rPr>
      <w:rFonts w:ascii="Times New Roman" w:hAnsi="Times New Roman"/>
      <w:szCs w:val="20"/>
    </w:rPr>
  </w:style>
  <w:style w:type="paragraph" w:customStyle="1" w:styleId="369">
    <w:name w:val="索引 91"/>
    <w:basedOn w:val="1"/>
    <w:next w:val="1"/>
    <w:semiHidden/>
    <w:qFormat/>
    <w:uiPriority w:val="0"/>
    <w:pPr>
      <w:ind w:left="1600"/>
    </w:pPr>
    <w:rPr>
      <w:rFonts w:ascii="Times New Roman" w:hAnsi="Times New Roman"/>
      <w:szCs w:val="20"/>
    </w:rPr>
  </w:style>
  <w:style w:type="paragraph" w:customStyle="1" w:styleId="370">
    <w:name w:val="HTML 预设格式1"/>
    <w:basedOn w:val="1"/>
    <w:link w:val="3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szCs w:val="24"/>
    </w:rPr>
  </w:style>
  <w:style w:type="character" w:customStyle="1" w:styleId="371">
    <w:name w:val="HTML 预设格式 字符"/>
    <w:link w:val="370"/>
    <w:qFormat/>
    <w:uiPriority w:val="0"/>
    <w:rPr>
      <w:rFonts w:ascii="Arial" w:hAnsi="Arial"/>
      <w:sz w:val="24"/>
      <w:szCs w:val="24"/>
    </w:rPr>
  </w:style>
  <w:style w:type="paragraph" w:customStyle="1" w:styleId="372">
    <w:name w:val="索引 21"/>
    <w:basedOn w:val="1"/>
    <w:next w:val="1"/>
    <w:semiHidden/>
    <w:qFormat/>
    <w:uiPriority w:val="0"/>
    <w:pPr>
      <w:ind w:left="200"/>
    </w:pPr>
    <w:rPr>
      <w:rFonts w:ascii="Times New Roman" w:hAnsi="Times New Roman"/>
      <w:szCs w:val="20"/>
    </w:rPr>
  </w:style>
  <w:style w:type="character" w:customStyle="1" w:styleId="373">
    <w:name w:val="强调1"/>
    <w:qFormat/>
    <w:uiPriority w:val="20"/>
    <w:rPr>
      <w:i/>
      <w:iCs/>
    </w:rPr>
  </w:style>
  <w:style w:type="character" w:customStyle="1" w:styleId="374">
    <w:name w:val="脚注引用1"/>
    <w:unhideWhenUsed/>
    <w:qFormat/>
    <w:uiPriority w:val="0"/>
    <w:rPr>
      <w:vertAlign w:val="superscript"/>
    </w:rPr>
  </w:style>
  <w:style w:type="character" w:customStyle="1" w:styleId="375">
    <w:name w:val="标题 1 字符"/>
    <w:qFormat/>
    <w:uiPriority w:val="99"/>
    <w:rPr>
      <w:rFonts w:ascii="宋体" w:hAnsi="宋体"/>
      <w:b/>
      <w:sz w:val="36"/>
    </w:rPr>
  </w:style>
  <w:style w:type="character" w:customStyle="1" w:styleId="376">
    <w:name w:val="标题 2 字符2"/>
    <w:qFormat/>
    <w:uiPriority w:val="0"/>
    <w:rPr>
      <w:rFonts w:eastAsia="楷体_GB2312"/>
      <w:b/>
      <w:bCs/>
      <w:sz w:val="28"/>
      <w:szCs w:val="28"/>
    </w:rPr>
  </w:style>
  <w:style w:type="character" w:customStyle="1" w:styleId="377">
    <w:name w:val="正文缩进 字符"/>
    <w:qFormat/>
    <w:uiPriority w:val="0"/>
    <w:rPr>
      <w:sz w:val="21"/>
    </w:rPr>
  </w:style>
  <w:style w:type="character" w:customStyle="1" w:styleId="378">
    <w:name w:val="批注文字 字符1"/>
    <w:qFormat/>
    <w:uiPriority w:val="0"/>
    <w:rPr>
      <w:sz w:val="21"/>
    </w:rPr>
  </w:style>
  <w:style w:type="character" w:customStyle="1" w:styleId="379">
    <w:name w:val="正文文本 字符2"/>
    <w:qFormat/>
    <w:uiPriority w:val="0"/>
    <w:rPr>
      <w:rFonts w:ascii="楷体_GB2312" w:hAnsi="Arial" w:eastAsia="楷体_GB2312"/>
      <w:sz w:val="28"/>
    </w:rPr>
  </w:style>
  <w:style w:type="character" w:customStyle="1" w:styleId="380">
    <w:name w:val="正文文本缩进 字符"/>
    <w:qFormat/>
    <w:uiPriority w:val="0"/>
    <w:rPr>
      <w:rFonts w:ascii="宋体"/>
      <w:sz w:val="28"/>
    </w:rPr>
  </w:style>
  <w:style w:type="character" w:customStyle="1" w:styleId="381">
    <w:name w:val="纯文本 字符"/>
    <w:qFormat/>
    <w:uiPriority w:val="0"/>
    <w:rPr>
      <w:rFonts w:ascii="宋体" w:hAnsi="Courier New"/>
      <w:sz w:val="21"/>
    </w:rPr>
  </w:style>
  <w:style w:type="character" w:customStyle="1" w:styleId="382">
    <w:name w:val="日期 字符1"/>
    <w:qFormat/>
    <w:uiPriority w:val="0"/>
    <w:rPr>
      <w:rFonts w:ascii="宋体"/>
      <w:sz w:val="28"/>
    </w:rPr>
  </w:style>
  <w:style w:type="character" w:customStyle="1" w:styleId="383">
    <w:name w:val="批注框文本 字符"/>
    <w:qFormat/>
    <w:uiPriority w:val="0"/>
    <w:rPr>
      <w:sz w:val="18"/>
      <w:szCs w:val="18"/>
    </w:rPr>
  </w:style>
  <w:style w:type="character" w:customStyle="1" w:styleId="384">
    <w:name w:val="签名 字符1"/>
    <w:link w:val="363"/>
    <w:qFormat/>
    <w:uiPriority w:val="0"/>
    <w:rPr>
      <w:rFonts w:ascii="Times New Roman" w:hAnsi="Times New Roman" w:eastAsia="仿宋_GB2312"/>
      <w:sz w:val="24"/>
    </w:rPr>
  </w:style>
  <w:style w:type="character" w:customStyle="1" w:styleId="385">
    <w:name w:val="批注主题 字符"/>
    <w:qFormat/>
    <w:uiPriority w:val="0"/>
    <w:rPr>
      <w:b/>
      <w:bCs/>
      <w:sz w:val="21"/>
    </w:rPr>
  </w:style>
  <w:style w:type="character" w:customStyle="1" w:styleId="386">
    <w:name w:val="正文文本 字符"/>
    <w:qFormat/>
    <w:uiPriority w:val="0"/>
    <w:rPr>
      <w:rFonts w:ascii="楷体_GB2312" w:hAnsi="Arial" w:eastAsia="楷体_GB2312"/>
      <w:sz w:val="28"/>
    </w:rPr>
  </w:style>
  <w:style w:type="character" w:customStyle="1" w:styleId="387">
    <w:name w:val="列表段落 字符"/>
    <w:link w:val="311"/>
    <w:qFormat/>
    <w:uiPriority w:val="34"/>
    <w:rPr>
      <w:sz w:val="24"/>
      <w:szCs w:val="24"/>
      <w:lang w:eastAsia="en-US" w:bidi="en-US"/>
    </w:rPr>
  </w:style>
  <w:style w:type="paragraph" w:customStyle="1" w:styleId="388">
    <w:name w:val="Char Char Char"/>
    <w:basedOn w:val="1"/>
    <w:qFormat/>
    <w:uiPriority w:val="0"/>
    <w:pPr>
      <w:numPr>
        <w:ilvl w:val="0"/>
        <w:numId w:val="4"/>
      </w:numPr>
      <w:tabs>
        <w:tab w:val="left" w:pos="1545"/>
      </w:tabs>
    </w:pPr>
    <w:rPr>
      <w:rFonts w:ascii="Times New Roman" w:hAnsi="Times New Roman"/>
      <w:szCs w:val="20"/>
    </w:rPr>
  </w:style>
  <w:style w:type="paragraph" w:customStyle="1" w:styleId="389">
    <w:name w:val="Plain Text1"/>
    <w:basedOn w:val="1"/>
    <w:qFormat/>
    <w:uiPriority w:val="0"/>
    <w:rPr>
      <w:rFonts w:ascii="宋体" w:hAnsi="Courier New" w:eastAsia="楷体_GB2312"/>
      <w:sz w:val="28"/>
      <w:szCs w:val="20"/>
    </w:rPr>
  </w:style>
  <w:style w:type="paragraph" w:customStyle="1" w:styleId="390">
    <w:name w:val="Default"/>
    <w:qFormat/>
    <w:uiPriority w:val="99"/>
    <w:pPr>
      <w:widowControl w:val="0"/>
    </w:pPr>
    <w:rPr>
      <w:rFonts w:hint="default" w:ascii="Times New Roman" w:hAnsi="Times New Roman" w:eastAsia="宋体" w:cs="Times New Roman"/>
      <w:color w:val="000000"/>
      <w:sz w:val="24"/>
      <w:szCs w:val="24"/>
      <w:lang w:val="en-US" w:eastAsia="zh-CN" w:bidi="ar-SA"/>
    </w:rPr>
  </w:style>
  <w:style w:type="paragraph" w:customStyle="1" w:styleId="391">
    <w:name w:val="Char1 Char Char Char"/>
    <w:basedOn w:val="1"/>
    <w:qFormat/>
    <w:uiPriority w:val="0"/>
    <w:rPr>
      <w:rFonts w:ascii="Tahoma" w:hAnsi="Tahoma"/>
      <w:sz w:val="24"/>
      <w:szCs w:val="20"/>
    </w:rPr>
  </w:style>
  <w:style w:type="paragraph" w:customStyle="1" w:styleId="392">
    <w:name w:val="Char Char1 Char Char Char Char Char Char Char"/>
    <w:basedOn w:val="1"/>
    <w:qFormat/>
    <w:uiPriority w:val="0"/>
    <w:rPr>
      <w:rFonts w:ascii="Calibri Light" w:hAnsi="Calibri Light" w:cs="Berlin Sans FB Demi"/>
      <w:sz w:val="24"/>
      <w:szCs w:val="20"/>
    </w:rPr>
  </w:style>
  <w:style w:type="paragraph" w:customStyle="1" w:styleId="393">
    <w:name w:val="Char Char"/>
    <w:basedOn w:val="1"/>
    <w:qFormat/>
    <w:uiPriority w:val="0"/>
    <w:rPr>
      <w:rFonts w:ascii="Times New Roman" w:hAnsi="Times New Roman"/>
      <w:szCs w:val="21"/>
    </w:rPr>
  </w:style>
  <w:style w:type="paragraph" w:customStyle="1" w:styleId="394">
    <w:name w:val="_Style 12"/>
    <w:basedOn w:val="288"/>
    <w:qFormat/>
    <w:uiPriority w:val="0"/>
    <w:pPr>
      <w:widowControl/>
      <w:spacing w:line="360" w:lineRule="auto"/>
      <w:jc w:val="left"/>
    </w:pPr>
    <w:rPr>
      <w:sz w:val="24"/>
      <w:szCs w:val="24"/>
    </w:rPr>
  </w:style>
  <w:style w:type="character" w:customStyle="1" w:styleId="395">
    <w:name w:val="正文缩进 Char1"/>
    <w:qFormat/>
    <w:uiPriority w:val="0"/>
    <w:rPr>
      <w:rFonts w:eastAsia="楷体_GB2312"/>
      <w:sz w:val="24"/>
    </w:rPr>
  </w:style>
  <w:style w:type="character" w:customStyle="1" w:styleId="396">
    <w:name w:val="纯文本 字符1"/>
    <w:qFormat/>
    <w:uiPriority w:val="0"/>
    <w:rPr>
      <w:rFonts w:ascii="宋体" w:hAnsi="Courier New"/>
    </w:rPr>
  </w:style>
  <w:style w:type="character" w:customStyle="1" w:styleId="397">
    <w:name w:val="未处理的提及1"/>
    <w:unhideWhenUsed/>
    <w:qFormat/>
    <w:uiPriority w:val="99"/>
    <w:rPr>
      <w:color w:val="605E5C"/>
      <w:shd w:val="clear" w:color="auto" w:fill="E1DFDD"/>
    </w:rPr>
  </w:style>
  <w:style w:type="character" w:customStyle="1" w:styleId="398">
    <w:name w:val="批注文字 字符"/>
    <w:qFormat/>
    <w:uiPriority w:val="0"/>
    <w:rPr>
      <w:sz w:val="21"/>
    </w:rPr>
  </w:style>
  <w:style w:type="character" w:customStyle="1" w:styleId="399">
    <w:name w:val="日期 字符"/>
    <w:qFormat/>
    <w:uiPriority w:val="0"/>
    <w:rPr>
      <w:rFonts w:ascii="宋体"/>
      <w:sz w:val="28"/>
    </w:rPr>
  </w:style>
  <w:style w:type="character" w:customStyle="1" w:styleId="400">
    <w:name w:val="正文文本 字符1"/>
    <w:qFormat/>
    <w:uiPriority w:val="0"/>
    <w:rPr>
      <w:rFonts w:ascii="楷体_GB2312" w:hAnsi="Arial" w:eastAsia="楷体_GB2312"/>
      <w:sz w:val="28"/>
    </w:rPr>
  </w:style>
  <w:style w:type="paragraph" w:customStyle="1" w:styleId="401">
    <w:name w:val="正文1"/>
    <w:next w:val="1"/>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402">
    <w:name w:val="_正文段落"/>
    <w:basedOn w:val="1"/>
    <w:link w:val="403"/>
    <w:qFormat/>
    <w:uiPriority w:val="0"/>
    <w:pPr>
      <w:spacing w:line="360" w:lineRule="auto"/>
      <w:ind w:firstLine="480"/>
    </w:pPr>
    <w:rPr>
      <w:rFonts w:ascii="宋体" w:hAnsi="宋体"/>
      <w:sz w:val="24"/>
      <w:szCs w:val="24"/>
    </w:rPr>
  </w:style>
  <w:style w:type="character" w:customStyle="1" w:styleId="403">
    <w:name w:val="_正文段落 Char"/>
    <w:link w:val="402"/>
    <w:qFormat/>
    <w:uiPriority w:val="0"/>
    <w:rPr>
      <w:rFonts w:ascii="宋体" w:hAnsi="宋体"/>
      <w:sz w:val="24"/>
      <w:szCs w:val="24"/>
    </w:rPr>
  </w:style>
  <w:style w:type="character" w:customStyle="1" w:styleId="404">
    <w:name w:val="cf01"/>
    <w:qFormat/>
    <w:uiPriority w:val="0"/>
    <w:rPr>
      <w:rFonts w:hint="eastAsia" w:ascii="Microsoft YaHei UI" w:hAnsi="Microsoft YaHei UI" w:eastAsia="Microsoft YaHei UI"/>
      <w:b/>
      <w:bCs/>
      <w:sz w:val="18"/>
      <w:szCs w:val="18"/>
    </w:rPr>
  </w:style>
  <w:style w:type="character" w:customStyle="1" w:styleId="405">
    <w:name w:val="标题 2 字符1"/>
    <w:qFormat/>
    <w:uiPriority w:val="0"/>
    <w:rPr>
      <w:rFonts w:eastAsia="楷体_GB2312"/>
      <w:b/>
      <w:bCs/>
      <w:sz w:val="28"/>
      <w:szCs w:val="28"/>
    </w:rPr>
  </w:style>
  <w:style w:type="paragraph" w:customStyle="1" w:styleId="406">
    <w:name w:val="pf0"/>
    <w:basedOn w:val="1"/>
    <w:qFormat/>
    <w:uiPriority w:val="0"/>
    <w:pPr>
      <w:widowControl/>
      <w:spacing w:before="100" w:beforeAutospacing="1" w:after="100" w:afterAutospacing="1"/>
      <w:jc w:val="left"/>
    </w:pPr>
    <w:rPr>
      <w:rFonts w:ascii="宋体" w:hAnsi="宋体" w:cs="宋体"/>
      <w:sz w:val="24"/>
      <w:szCs w:val="24"/>
    </w:rPr>
  </w:style>
  <w:style w:type="character" w:customStyle="1" w:styleId="407">
    <w:name w:val="cf11"/>
    <w:qFormat/>
    <w:uiPriority w:val="0"/>
    <w:rPr>
      <w:rFonts w:hint="eastAsia" w:ascii="Microsoft YaHei UI" w:hAnsi="Microsoft YaHei UI" w:eastAsia="Microsoft YaHei UI"/>
      <w:sz w:val="18"/>
      <w:szCs w:val="18"/>
    </w:rPr>
  </w:style>
  <w:style w:type="character" w:customStyle="1" w:styleId="408">
    <w:name w:val="cf21"/>
    <w:qFormat/>
    <w:uiPriority w:val="0"/>
    <w:rPr>
      <w:rFonts w:hint="eastAsia" w:ascii="Microsoft YaHei UI" w:hAnsi="Microsoft YaHei UI" w:eastAsia="Microsoft YaHei UI"/>
      <w:b/>
      <w:bCs/>
      <w:sz w:val="18"/>
      <w:szCs w:val="18"/>
    </w:rPr>
  </w:style>
  <w:style w:type="paragraph" w:customStyle="1" w:styleId="409">
    <w:name w:val="TOC 标题11"/>
    <w:basedOn w:val="245"/>
    <w:next w:val="1"/>
    <w:unhideWhenUsed/>
    <w:qFormat/>
    <w:uiPriority w:val="39"/>
    <w:pPr>
      <w:keepLines/>
      <w:widowControl/>
      <w:spacing w:before="240" w:line="259" w:lineRule="auto"/>
      <w:jc w:val="left"/>
      <w:outlineLvl w:val="9"/>
    </w:pPr>
    <w:rPr>
      <w:rFonts w:ascii="等线 Light" w:hAnsi="等线 Light" w:eastAsia="黑体"/>
      <w:color w:val="2F5496"/>
      <w:sz w:val="32"/>
      <w:szCs w:val="32"/>
    </w:rPr>
  </w:style>
  <w:style w:type="character" w:customStyle="1" w:styleId="410">
    <w:name w:val="普通正文 Char"/>
    <w:link w:val="294"/>
    <w:qFormat/>
    <w:uiPriority w:val="0"/>
    <w:rPr>
      <w:rFonts w:ascii="Arial" w:hAnsi="Arial"/>
      <w:sz w:val="24"/>
      <w:szCs w:val="24"/>
    </w:rPr>
  </w:style>
  <w:style w:type="character" w:customStyle="1" w:styleId="411">
    <w:name w:val="批注文字 字符2"/>
    <w:basedOn w:val="44"/>
    <w:link w:val="14"/>
    <w:qFormat/>
    <w:uiPriority w:val="99"/>
    <w:rPr>
      <w:sz w:val="21"/>
      <w:szCs w:val="22"/>
    </w:rPr>
  </w:style>
  <w:style w:type="character" w:customStyle="1" w:styleId="412">
    <w:name w:val="批注主题 字符1"/>
    <w:basedOn w:val="411"/>
    <w:link w:val="41"/>
    <w:semiHidden/>
    <w:qFormat/>
    <w:uiPriority w:val="99"/>
    <w:rPr>
      <w:b/>
      <w:bCs/>
      <w:sz w:val="21"/>
      <w:szCs w:val="22"/>
    </w:rPr>
  </w:style>
  <w:style w:type="character" w:customStyle="1" w:styleId="413">
    <w:name w:val="批注框文本 字符1"/>
    <w:basedOn w:val="44"/>
    <w:link w:val="26"/>
    <w:semiHidden/>
    <w:qFormat/>
    <w:uiPriority w:val="99"/>
    <w:rPr>
      <w:sz w:val="18"/>
      <w:szCs w:val="18"/>
    </w:rPr>
  </w:style>
  <w:style w:type="character" w:customStyle="1" w:styleId="414">
    <w:name w:val="1、 字符"/>
    <w:link w:val="415"/>
    <w:qFormat/>
    <w:uiPriority w:val="0"/>
    <w:rPr>
      <w:sz w:val="24"/>
      <w:szCs w:val="24"/>
    </w:rPr>
  </w:style>
  <w:style w:type="paragraph" w:customStyle="1" w:styleId="415">
    <w:name w:val="1、"/>
    <w:basedOn w:val="1"/>
    <w:link w:val="414"/>
    <w:qFormat/>
    <w:uiPriority w:val="0"/>
    <w:pPr>
      <w:spacing w:line="440" w:lineRule="exact"/>
      <w:ind w:firstLine="200"/>
    </w:pPr>
    <w:rPr>
      <w:sz w:val="24"/>
      <w:szCs w:val="24"/>
    </w:rPr>
  </w:style>
  <w:style w:type="paragraph" w:customStyle="1" w:styleId="416">
    <w:name w:val="段"/>
    <w:next w:val="1"/>
    <w:qFormat/>
    <w:uiPriority w:val="0"/>
    <w:pPr>
      <w:spacing w:line="360" w:lineRule="auto"/>
      <w:ind w:firstLine="200"/>
      <w:jc w:val="both"/>
    </w:pPr>
    <w:rPr>
      <w:rFonts w:hint="default" w:ascii="宋体" w:hAnsi="Calibri" w:eastAsia="宋体" w:cs="Times New Roman"/>
      <w:sz w:val="24"/>
      <w:szCs w:val="22"/>
      <w:lang w:val="en-US" w:eastAsia="zh-CN" w:bidi="ar-SA"/>
    </w:rPr>
  </w:style>
  <w:style w:type="character" w:customStyle="1" w:styleId="417">
    <w:name w:val="15"/>
    <w:basedOn w:val="44"/>
    <w:qFormat/>
    <w:uiPriority w:val="0"/>
    <w:rPr>
      <w:rFonts w:hint="default" w:ascii="Calibri" w:hAnsi="Calibri" w:cs="Calibri"/>
    </w:rPr>
  </w:style>
  <w:style w:type="paragraph" w:customStyle="1" w:styleId="418">
    <w:name w:val="Char Char1 Char Char Char Char Char Char Char2"/>
    <w:basedOn w:val="1"/>
    <w:qFormat/>
    <w:uiPriority w:val="0"/>
    <w:rPr>
      <w:rFonts w:ascii="Tahoma" w:hAnsi="Tahoma"/>
      <w:sz w:val="24"/>
    </w:rPr>
  </w:style>
  <w:style w:type="character" w:customStyle="1" w:styleId="419">
    <w:name w:val="font41"/>
    <w:basedOn w:val="44"/>
    <w:qFormat/>
    <w:uiPriority w:val="0"/>
    <w:rPr>
      <w:rFonts w:hint="eastAsia" w:ascii="宋体" w:hAnsi="宋体" w:eastAsia="宋体" w:cs="宋体"/>
      <w:color w:val="FF0000"/>
      <w:sz w:val="24"/>
      <w:szCs w:val="24"/>
      <w:u w:val="none"/>
    </w:rPr>
  </w:style>
  <w:style w:type="character" w:customStyle="1" w:styleId="420">
    <w:name w:val="font01"/>
    <w:basedOn w:val="44"/>
    <w:qFormat/>
    <w:uiPriority w:val="0"/>
    <w:rPr>
      <w:rFonts w:hint="eastAsia" w:ascii="宋体" w:hAnsi="宋体" w:eastAsia="宋体" w:cs="宋体"/>
      <w:color w:val="000000"/>
      <w:sz w:val="24"/>
      <w:szCs w:val="24"/>
      <w:u w:val="none"/>
    </w:rPr>
  </w:style>
  <w:style w:type="character" w:customStyle="1" w:styleId="421">
    <w:name w:val="font51"/>
    <w:basedOn w:val="44"/>
    <w:qFormat/>
    <w:uiPriority w:val="0"/>
    <w:rPr>
      <w:rFonts w:hint="eastAsia" w:ascii="宋体" w:hAnsi="宋体" w:eastAsia="宋体" w:cs="宋体"/>
      <w:color w:val="000000"/>
      <w:sz w:val="24"/>
      <w:szCs w:val="24"/>
      <w:u w:val="none"/>
    </w:rPr>
  </w:style>
  <w:style w:type="paragraph" w:customStyle="1" w:styleId="422">
    <w:name w:val="表格内容"/>
    <w:basedOn w:val="1"/>
    <w:qFormat/>
    <w:uiPriority w:val="0"/>
    <w:pPr>
      <w:jc w:val="center"/>
    </w:pPr>
    <w:rPr>
      <w:rFonts w:cs="宋体"/>
      <w:sz w:val="18"/>
      <w:szCs w:val="28"/>
      <w:lang w:val="zh-CN"/>
    </w:rPr>
  </w:style>
  <w:style w:type="character" w:customStyle="1" w:styleId="423">
    <w:name w:val="正文首行缩进 2 字符"/>
    <w:link w:val="17"/>
    <w:qFormat/>
    <w:uiPriority w:val="0"/>
    <w:rPr>
      <w:rFonts w:hint="default" w:ascii="Calibri" w:hAnsi="Calibri" w:cs="Calibri"/>
      <w:sz w:val="21"/>
      <w:szCs w:val="22"/>
    </w:rPr>
  </w:style>
  <w:style w:type="character" w:customStyle="1" w:styleId="424">
    <w:name w:val="正文首行缩进 字符"/>
    <w:link w:val="16"/>
    <w:qFormat/>
    <w:uiPriority w:val="0"/>
    <w:rPr>
      <w:rFonts w:hint="default" w:ascii="Calibri" w:hAnsi="Calibri" w:cs="Calibri"/>
      <w:sz w:val="21"/>
    </w:rPr>
  </w:style>
  <w:style w:type="character" w:customStyle="1" w:styleId="425">
    <w:name w:val="批注框文本 字符2"/>
    <w:basedOn w:val="44"/>
    <w:qFormat/>
    <w:uiPriority w:val="0"/>
    <w:rPr>
      <w:rFonts w:hint="default" w:ascii="Calibri" w:hAnsi="Calibri" w:cs="Calibri"/>
      <w:sz w:val="18"/>
      <w:szCs w:val="18"/>
    </w:rPr>
  </w:style>
  <w:style w:type="character" w:customStyle="1" w:styleId="426">
    <w:name w:val="tdog-simplepop-icon"/>
    <w:basedOn w:val="44"/>
    <w:qFormat/>
    <w:uiPriority w:val="0"/>
  </w:style>
  <w:style w:type="character" w:customStyle="1" w:styleId="427">
    <w:name w:val="font11"/>
    <w:basedOn w:val="44"/>
    <w:qFormat/>
    <w:uiPriority w:val="0"/>
    <w:rPr>
      <w:rFonts w:hint="eastAsia" w:ascii="宋体" w:hAnsi="宋体" w:eastAsia="宋体" w:cs="宋体"/>
      <w:b/>
      <w:color w:val="000000"/>
      <w:sz w:val="24"/>
      <w:szCs w:val="24"/>
      <w:u w:val="none"/>
    </w:rPr>
  </w:style>
  <w:style w:type="character" w:customStyle="1" w:styleId="428">
    <w:name w:val="tdog-msg-count"/>
    <w:basedOn w:val="44"/>
    <w:qFormat/>
    <w:uiPriority w:val="0"/>
    <w:rPr>
      <w:color w:val="0B4F9E"/>
    </w:rPr>
  </w:style>
  <w:style w:type="character" w:customStyle="1" w:styleId="429">
    <w:name w:val="正文文本 字符3"/>
    <w:basedOn w:val="44"/>
    <w:qFormat/>
    <w:uiPriority w:val="0"/>
    <w:rPr>
      <w:rFonts w:hint="eastAsia" w:ascii="楷体_GB2312" w:hAnsi="Arial" w:eastAsia="楷体_GB2312" w:cs="楷体_GB2312"/>
      <w:sz w:val="28"/>
    </w:rPr>
  </w:style>
  <w:style w:type="character" w:customStyle="1" w:styleId="430">
    <w:name w:val="font21"/>
    <w:basedOn w:val="44"/>
    <w:qFormat/>
    <w:uiPriority w:val="0"/>
    <w:rPr>
      <w:rFonts w:hint="default" w:ascii="Calibri" w:hAnsi="Calibri" w:cs="Calibri"/>
      <w:color w:val="000000"/>
      <w:sz w:val="24"/>
      <w:szCs w:val="24"/>
      <w:u w:val="none"/>
    </w:rPr>
  </w:style>
  <w:style w:type="character" w:customStyle="1" w:styleId="431">
    <w:name w:val="Title Char1"/>
    <w:basedOn w:val="44"/>
    <w:qFormat/>
    <w:uiPriority w:val="0"/>
    <w:rPr>
      <w:rFonts w:hint="default" w:ascii="Cambria" w:hAnsi="Cambria" w:eastAsia="Cambria" w:cs="Times New Roman"/>
      <w:b/>
      <w:sz w:val="32"/>
      <w:szCs w:val="32"/>
    </w:rPr>
  </w:style>
  <w:style w:type="character" w:customStyle="1" w:styleId="432">
    <w:name w:val="签名 Char1"/>
    <w:basedOn w:val="44"/>
    <w:qFormat/>
    <w:uiPriority w:val="0"/>
    <w:rPr>
      <w:sz w:val="21"/>
    </w:rPr>
  </w:style>
  <w:style w:type="character" w:customStyle="1" w:styleId="433">
    <w:name w:val="标题 1 字符2"/>
    <w:basedOn w:val="44"/>
    <w:qFormat/>
    <w:uiPriority w:val="0"/>
    <w:rPr>
      <w:rFonts w:hint="eastAsia" w:ascii="宋体" w:hAnsi="宋体" w:eastAsia="宋体" w:cs="宋体"/>
      <w:b/>
      <w:sz w:val="36"/>
    </w:rPr>
  </w:style>
  <w:style w:type="character" w:customStyle="1" w:styleId="434">
    <w:name w:val="标题 Char1"/>
    <w:basedOn w:val="44"/>
    <w:qFormat/>
    <w:uiPriority w:val="0"/>
    <w:rPr>
      <w:rFonts w:hint="default" w:ascii="Cambria" w:hAnsi="Cambria" w:eastAsia="宋体" w:cs="Times New Roman"/>
      <w:b/>
      <w:sz w:val="32"/>
      <w:szCs w:val="32"/>
    </w:rPr>
  </w:style>
  <w:style w:type="character" w:customStyle="1" w:styleId="435">
    <w:name w:val="正文缩进 字符1"/>
    <w:basedOn w:val="44"/>
    <w:qFormat/>
    <w:uiPriority w:val="0"/>
    <w:rPr>
      <w:sz w:val="21"/>
    </w:rPr>
  </w:style>
  <w:style w:type="character" w:customStyle="1" w:styleId="436">
    <w:name w:val="font31"/>
    <w:basedOn w:val="44"/>
    <w:qFormat/>
    <w:uiPriority w:val="0"/>
    <w:rPr>
      <w:rFonts w:hint="eastAsia" w:ascii="宋体" w:hAnsi="宋体" w:eastAsia="宋体" w:cs="宋体"/>
      <w:color w:val="000000"/>
      <w:sz w:val="24"/>
      <w:szCs w:val="24"/>
      <w:u w:val="none"/>
    </w:rPr>
  </w:style>
  <w:style w:type="character" w:customStyle="1" w:styleId="437">
    <w:name w:val="HTML 预设格式 字符2"/>
    <w:basedOn w:val="44"/>
    <w:qFormat/>
    <w:uiPriority w:val="0"/>
    <w:rPr>
      <w:rFonts w:hint="default" w:ascii="Courier New" w:hAnsi="Courier New" w:cs="Courier New"/>
    </w:rPr>
  </w:style>
  <w:style w:type="character" w:customStyle="1" w:styleId="438">
    <w:name w:val="Char Char16"/>
    <w:basedOn w:val="44"/>
    <w:qFormat/>
    <w:uiPriority w:val="0"/>
    <w:rPr>
      <w:rFonts w:hint="eastAsia" w:ascii="宋体" w:hAnsi="宋体" w:eastAsia="宋体" w:cs="宋体"/>
      <w:b/>
      <w:sz w:val="28"/>
      <w:szCs w:val="28"/>
    </w:rPr>
  </w:style>
  <w:style w:type="character" w:customStyle="1" w:styleId="439">
    <w:name w:val="日期 Char1"/>
    <w:basedOn w:val="44"/>
    <w:qFormat/>
    <w:uiPriority w:val="0"/>
    <w:rPr>
      <w:sz w:val="21"/>
    </w:rPr>
  </w:style>
  <w:style w:type="character" w:customStyle="1" w:styleId="440">
    <w:name w:val="标题 1 字符3"/>
    <w:basedOn w:val="44"/>
    <w:qFormat/>
    <w:uiPriority w:val="0"/>
    <w:rPr>
      <w:rFonts w:hint="eastAsia" w:ascii="宋体" w:hAnsi="宋体" w:eastAsia="宋体" w:cs="宋体"/>
      <w:b/>
      <w:sz w:val="36"/>
    </w:rPr>
  </w:style>
  <w:style w:type="character" w:customStyle="1" w:styleId="441">
    <w:name w:val="批注文字 Char1"/>
    <w:basedOn w:val="44"/>
    <w:qFormat/>
    <w:uiPriority w:val="0"/>
    <w:rPr>
      <w:sz w:val="21"/>
    </w:rPr>
  </w:style>
  <w:style w:type="character" w:customStyle="1" w:styleId="442">
    <w:name w:val="font61"/>
    <w:basedOn w:val="44"/>
    <w:qFormat/>
    <w:uiPriority w:val="0"/>
    <w:rPr>
      <w:rFonts w:hint="default" w:ascii="Calibri" w:hAnsi="Calibri" w:cs="Calibri"/>
      <w:b/>
      <w:color w:val="000000"/>
      <w:sz w:val="24"/>
      <w:szCs w:val="24"/>
      <w:u w:val="none"/>
    </w:rPr>
  </w:style>
  <w:style w:type="character" w:customStyle="1" w:styleId="443">
    <w:name w:val="HTML 预设格式 字符3"/>
    <w:basedOn w:val="44"/>
    <w:qFormat/>
    <w:uiPriority w:val="0"/>
    <w:rPr>
      <w:rFonts w:hint="eastAsia" w:ascii="宋体" w:hAnsi="宋体" w:eastAsia="宋体" w:cs="宋体"/>
      <w:sz w:val="24"/>
      <w:szCs w:val="24"/>
    </w:rPr>
  </w:style>
  <w:style w:type="character" w:customStyle="1" w:styleId="444">
    <w:name w:val="正文文本缩进 字符1"/>
    <w:basedOn w:val="44"/>
    <w:qFormat/>
    <w:uiPriority w:val="0"/>
    <w:rPr>
      <w:rFonts w:hint="eastAsia" w:ascii="宋体" w:hAnsi="Courier New" w:eastAsia="宋体" w:cs="宋体"/>
      <w:spacing w:val="-4"/>
      <w:sz w:val="18"/>
    </w:rPr>
  </w:style>
  <w:style w:type="character" w:customStyle="1" w:styleId="445">
    <w:name w:val="签名 字符3"/>
    <w:basedOn w:val="44"/>
    <w:qFormat/>
    <w:uiPriority w:val="0"/>
    <w:rPr>
      <w:rFonts w:hint="eastAsia" w:ascii="仿宋_GB2312" w:eastAsia="仿宋_GB2312" w:cs="仿宋_GB2312"/>
      <w:sz w:val="24"/>
    </w:rPr>
  </w:style>
  <w:style w:type="character" w:customStyle="1" w:styleId="446">
    <w:name w:val="标题 5 字符1"/>
    <w:basedOn w:val="44"/>
    <w:link w:val="6"/>
    <w:qFormat/>
    <w:uiPriority w:val="0"/>
    <w:rPr>
      <w:b/>
      <w:sz w:val="18"/>
    </w:rPr>
  </w:style>
  <w:style w:type="character" w:customStyle="1" w:styleId="447">
    <w:name w:val="*正文 Char"/>
    <w:basedOn w:val="44"/>
    <w:qFormat/>
    <w:uiPriority w:val="0"/>
    <w:rPr>
      <w:rFonts w:hint="eastAsia" w:ascii="宋体" w:hAnsi="宋体" w:eastAsia="宋体" w:cs="宋体"/>
      <w:sz w:val="24"/>
      <w:szCs w:val="24"/>
    </w:rPr>
  </w:style>
  <w:style w:type="character" w:customStyle="1" w:styleId="448">
    <w:name w:val="宋体3 Char"/>
    <w:basedOn w:val="44"/>
    <w:qFormat/>
    <w:uiPriority w:val="0"/>
    <w:rPr>
      <w:rFonts w:hint="default" w:ascii="Calibri" w:hAnsi="Calibri" w:cs="Calibri"/>
      <w:b/>
      <w:sz w:val="28"/>
    </w:rPr>
  </w:style>
  <w:style w:type="character" w:customStyle="1" w:styleId="449">
    <w:name w:val="apple-style-span"/>
    <w:basedOn w:val="44"/>
    <w:qFormat/>
    <w:uiPriority w:val="0"/>
  </w:style>
  <w:style w:type="character" w:customStyle="1" w:styleId="450">
    <w:name w:val="标题 4 字符1"/>
    <w:basedOn w:val="44"/>
    <w:link w:val="5"/>
    <w:qFormat/>
    <w:uiPriority w:val="0"/>
    <w:rPr>
      <w:b/>
      <w:sz w:val="18"/>
    </w:rPr>
  </w:style>
  <w:style w:type="character" w:customStyle="1" w:styleId="451">
    <w:name w:val="标题 6 字符1"/>
    <w:basedOn w:val="44"/>
    <w:link w:val="7"/>
    <w:qFormat/>
    <w:uiPriority w:val="0"/>
    <w:rPr>
      <w:rFonts w:hint="default" w:ascii="Cambria" w:hAnsi="Cambria" w:eastAsia="黑体" w:cs="Cambria"/>
      <w:b/>
      <w:sz w:val="28"/>
      <w:szCs w:val="24"/>
    </w:rPr>
  </w:style>
  <w:style w:type="character" w:customStyle="1" w:styleId="452">
    <w:name w:val="题注 字符"/>
    <w:basedOn w:val="44"/>
    <w:link w:val="12"/>
    <w:qFormat/>
    <w:uiPriority w:val="0"/>
    <w:rPr>
      <w:rFonts w:hint="default" w:ascii="Cambria" w:hAnsi="Cambria" w:eastAsia="黑体" w:cs="Cambria"/>
      <w:sz w:val="24"/>
    </w:rPr>
  </w:style>
  <w:style w:type="character" w:customStyle="1" w:styleId="453">
    <w:name w:val="文档结构图 字符"/>
    <w:basedOn w:val="44"/>
    <w:link w:val="13"/>
    <w:qFormat/>
    <w:uiPriority w:val="0"/>
    <w:rPr>
      <w:sz w:val="21"/>
      <w:shd w:val="clear" w:color="auto" w:fill="000080"/>
    </w:rPr>
  </w:style>
  <w:style w:type="character" w:customStyle="1" w:styleId="454">
    <w:name w:val="正文文本 字符4"/>
    <w:basedOn w:val="44"/>
    <w:qFormat/>
    <w:uiPriority w:val="0"/>
    <w:rPr>
      <w:sz w:val="21"/>
    </w:rPr>
  </w:style>
  <w:style w:type="character" w:customStyle="1" w:styleId="455">
    <w:name w:val="正文文本缩进 2 字符"/>
    <w:basedOn w:val="44"/>
    <w:link w:val="24"/>
    <w:qFormat/>
    <w:uiPriority w:val="0"/>
    <w:rPr>
      <w:sz w:val="24"/>
    </w:rPr>
  </w:style>
  <w:style w:type="character" w:customStyle="1" w:styleId="456">
    <w:name w:val="副标题 字符1"/>
    <w:basedOn w:val="44"/>
    <w:link w:val="32"/>
    <w:qFormat/>
    <w:uiPriority w:val="0"/>
    <w:rPr>
      <w:rFonts w:hint="default" w:ascii="Cambria" w:hAnsi="Cambria" w:eastAsia="Cambria" w:cs="Cambria"/>
      <w:b/>
      <w:sz w:val="32"/>
      <w:szCs w:val="32"/>
    </w:rPr>
  </w:style>
  <w:style w:type="character" w:customStyle="1" w:styleId="457">
    <w:name w:val="tdog-popup-talkbar-report"/>
    <w:basedOn w:val="44"/>
    <w:qFormat/>
    <w:uiPriority w:val="0"/>
  </w:style>
  <w:style w:type="character" w:customStyle="1" w:styleId="458">
    <w:name w:val="正文文本缩进 3 字符"/>
    <w:basedOn w:val="44"/>
    <w:link w:val="35"/>
    <w:qFormat/>
    <w:uiPriority w:val="0"/>
    <w:rPr>
      <w:b/>
      <w:sz w:val="28"/>
      <w:u w:val="single"/>
    </w:rPr>
  </w:style>
  <w:style w:type="character" w:customStyle="1" w:styleId="459">
    <w:name w:val="标题 Char"/>
    <w:basedOn w:val="44"/>
    <w:qFormat/>
    <w:uiPriority w:val="0"/>
    <w:rPr>
      <w:rFonts w:hint="default" w:ascii="Cambria" w:hAnsi="Cambria" w:eastAsia="Cambria" w:cs="Cambria"/>
      <w:color w:val="17365D"/>
      <w:spacing w:val="5"/>
      <w:sz w:val="52"/>
      <w:szCs w:val="52"/>
      <w:lang w:eastAsia="en-US" w:bidi="en-US"/>
    </w:rPr>
  </w:style>
  <w:style w:type="character" w:customStyle="1" w:styleId="460">
    <w:name w:val="普通(网站) 字符"/>
    <w:basedOn w:val="44"/>
    <w:link w:val="39"/>
    <w:qFormat/>
    <w:uiPriority w:val="0"/>
    <w:rPr>
      <w:rFonts w:hint="eastAsia" w:ascii="宋体" w:hAnsi="宋体" w:eastAsia="宋体" w:cs="宋体"/>
      <w:sz w:val="24"/>
      <w:szCs w:val="24"/>
    </w:rPr>
  </w:style>
  <w:style w:type="character" w:customStyle="1" w:styleId="461">
    <w:name w:val="标题 Char2"/>
    <w:basedOn w:val="44"/>
    <w:qFormat/>
    <w:uiPriority w:val="0"/>
    <w:rPr>
      <w:rFonts w:hint="default" w:ascii="Cambria" w:hAnsi="Cambria" w:eastAsia="Cambria" w:cs="Times New Roman"/>
      <w:b/>
      <w:sz w:val="32"/>
      <w:szCs w:val="32"/>
    </w:rPr>
  </w:style>
  <w:style w:type="character" w:customStyle="1" w:styleId="462">
    <w:name w:val="标题5 Char"/>
    <w:basedOn w:val="44"/>
    <w:qFormat/>
    <w:uiPriority w:val="0"/>
    <w:rPr>
      <w:b/>
      <w:sz w:val="24"/>
      <w:szCs w:val="24"/>
    </w:rPr>
  </w:style>
  <w:style w:type="character" w:customStyle="1" w:styleId="463">
    <w:name w:val="签名 Char"/>
    <w:basedOn w:val="44"/>
    <w:qFormat/>
    <w:uiPriority w:val="0"/>
    <w:rPr>
      <w:rFonts w:hint="eastAsia" w:ascii="仿宋_GB2312" w:eastAsia="仿宋_GB2312" w:cs="仿宋_GB2312"/>
      <w:sz w:val="24"/>
    </w:rPr>
  </w:style>
  <w:style w:type="character" w:customStyle="1" w:styleId="464">
    <w:name w:val="Item List Char"/>
    <w:basedOn w:val="44"/>
    <w:qFormat/>
    <w:uiPriority w:val="0"/>
    <w:rPr>
      <w:sz w:val="21"/>
      <w:szCs w:val="21"/>
    </w:rPr>
  </w:style>
  <w:style w:type="character" w:customStyle="1" w:styleId="465">
    <w:name w:val="正文文本 Char1"/>
    <w:basedOn w:val="44"/>
    <w:qFormat/>
    <w:uiPriority w:val="0"/>
  </w:style>
  <w:style w:type="character" w:customStyle="1" w:styleId="466">
    <w:name w:val="副标题 Char"/>
    <w:basedOn w:val="44"/>
    <w:qFormat/>
    <w:uiPriority w:val="0"/>
    <w:rPr>
      <w:rFonts w:hint="default" w:ascii="Cambria" w:hAnsi="Cambria" w:eastAsia="Cambria" w:cs="Times New Roman"/>
      <w:b/>
      <w:sz w:val="32"/>
      <w:szCs w:val="32"/>
    </w:rPr>
  </w:style>
  <w:style w:type="character" w:customStyle="1" w:styleId="467">
    <w:name w:val="tdog-popup-help"/>
    <w:basedOn w:val="44"/>
    <w:qFormat/>
    <w:uiPriority w:val="0"/>
    <w:rPr>
      <w:vanish/>
    </w:rPr>
  </w:style>
  <w:style w:type="character" w:customStyle="1" w:styleId="468">
    <w:name w:val="正文文本缩进 Char1"/>
    <w:basedOn w:val="44"/>
    <w:qFormat/>
    <w:uiPriority w:val="0"/>
    <w:rPr>
      <w:sz w:val="21"/>
    </w:rPr>
  </w:style>
  <w:style w:type="character" w:customStyle="1" w:styleId="469">
    <w:name w:val="批注主题 字符2"/>
    <w:basedOn w:val="44"/>
    <w:qFormat/>
    <w:uiPriority w:val="0"/>
    <w:rPr>
      <w:b/>
      <w:sz w:val="21"/>
    </w:rPr>
  </w:style>
  <w:style w:type="character" w:customStyle="1" w:styleId="470">
    <w:name w:val="tdog-systips"/>
    <w:basedOn w:val="44"/>
    <w:qFormat/>
    <w:uiPriority w:val="0"/>
  </w:style>
  <w:style w:type="character" w:customStyle="1" w:styleId="471">
    <w:name w:val="param-name"/>
    <w:basedOn w:val="44"/>
    <w:qFormat/>
    <w:uiPriority w:val="0"/>
  </w:style>
  <w:style w:type="character" w:customStyle="1" w:styleId="472">
    <w:name w:val="apple-converted-space"/>
    <w:basedOn w:val="44"/>
    <w:qFormat/>
    <w:uiPriority w:val="0"/>
  </w:style>
  <w:style w:type="character" w:customStyle="1" w:styleId="473">
    <w:name w:val="标题 8 Char1"/>
    <w:basedOn w:val="44"/>
    <w:qFormat/>
    <w:uiPriority w:val="0"/>
    <w:rPr>
      <w:rFonts w:hint="eastAsia" w:ascii="等线 Light" w:hAnsi="等线 Light" w:eastAsia="等线 Light" w:cs="等线 Light"/>
      <w:sz w:val="24"/>
      <w:szCs w:val="24"/>
    </w:rPr>
  </w:style>
  <w:style w:type="character" w:customStyle="1" w:styleId="474">
    <w:name w:val="hidden"/>
    <w:basedOn w:val="44"/>
    <w:qFormat/>
    <w:uiPriority w:val="0"/>
    <w:rPr>
      <w:vanish/>
    </w:rPr>
  </w:style>
  <w:style w:type="character" w:customStyle="1" w:styleId="475">
    <w:name w:val="未处理的提及2"/>
    <w:basedOn w:val="44"/>
    <w:qFormat/>
    <w:uiPriority w:val="0"/>
    <w:rPr>
      <w:color w:val="605E5C"/>
      <w:shd w:val="clear" w:color="auto" w:fill="E1DFDD"/>
    </w:rPr>
  </w:style>
  <w:style w:type="character" w:customStyle="1" w:styleId="476">
    <w:name w:val="正文文本 Char2"/>
    <w:basedOn w:val="44"/>
    <w:qFormat/>
    <w:uiPriority w:val="0"/>
    <w:rPr>
      <w:rFonts w:hint="eastAsia" w:ascii="楷体_GB2312" w:hAnsi="Arial" w:eastAsia="楷体_GB2312" w:cs="楷体_GB2312"/>
      <w:sz w:val="28"/>
    </w:rPr>
  </w:style>
  <w:style w:type="character" w:customStyle="1" w:styleId="477">
    <w:name w:val="hover5"/>
    <w:basedOn w:val="44"/>
    <w:qFormat/>
    <w:uiPriority w:val="0"/>
  </w:style>
  <w:style w:type="character" w:customStyle="1" w:styleId="478">
    <w:name w:val="tdog-info-mailicon"/>
    <w:basedOn w:val="44"/>
    <w:qFormat/>
    <w:uiPriority w:val="0"/>
  </w:style>
  <w:style w:type="character" w:customStyle="1" w:styleId="479">
    <w:name w:val="tdog-minimizebut"/>
    <w:basedOn w:val="44"/>
    <w:qFormat/>
    <w:uiPriority w:val="0"/>
  </w:style>
  <w:style w:type="character" w:customStyle="1" w:styleId="480">
    <w:name w:val="纯文本 Char1"/>
    <w:basedOn w:val="44"/>
    <w:qFormat/>
    <w:uiPriority w:val="0"/>
    <w:rPr>
      <w:rFonts w:hint="eastAsia" w:ascii="宋体" w:hAnsi="Courier New" w:eastAsia="宋体" w:cs="Courier New"/>
      <w:sz w:val="21"/>
      <w:szCs w:val="21"/>
    </w:rPr>
  </w:style>
  <w:style w:type="character" w:customStyle="1" w:styleId="481">
    <w:name w:val="font"/>
    <w:basedOn w:val="44"/>
    <w:qFormat/>
    <w:uiPriority w:val="0"/>
  </w:style>
  <w:style w:type="character" w:customStyle="1" w:styleId="482">
    <w:name w:val="标题 3 字符1"/>
    <w:basedOn w:val="44"/>
    <w:qFormat/>
    <w:uiPriority w:val="0"/>
    <w:rPr>
      <w:rFonts w:hint="eastAsia" w:ascii="宋体" w:hAnsi="宋体" w:eastAsia="宋体" w:cs="宋体"/>
      <w:sz w:val="28"/>
      <w:lang w:val="en-US" w:eastAsia="zh-CN" w:bidi="ar"/>
    </w:rPr>
  </w:style>
  <w:style w:type="character" w:customStyle="1" w:styleId="483">
    <w:name w:val="tdog-info-title"/>
    <w:basedOn w:val="44"/>
    <w:qFormat/>
    <w:uiPriority w:val="0"/>
  </w:style>
  <w:style w:type="character" w:customStyle="1" w:styleId="484">
    <w:name w:val="标题 字符3"/>
    <w:basedOn w:val="44"/>
    <w:qFormat/>
    <w:uiPriority w:val="0"/>
    <w:rPr>
      <w:rFonts w:hint="eastAsia" w:ascii="等线 Light" w:hAnsi="等线 Light" w:eastAsia="等线 Light" w:cs="Times New Roman"/>
      <w:b/>
      <w:sz w:val="32"/>
      <w:szCs w:val="32"/>
    </w:rPr>
  </w:style>
  <w:style w:type="character" w:customStyle="1" w:styleId="485">
    <w:name w:val="Body Text Char"/>
    <w:basedOn w:val="44"/>
    <w:qFormat/>
    <w:uiPriority w:val="0"/>
    <w:rPr>
      <w:rFonts w:hint="eastAsia" w:ascii="楷体_GB2312" w:hAnsi="Arial" w:eastAsia="楷体_GB2312" w:cs="Times New Roman"/>
      <w:sz w:val="28"/>
      <w:szCs w:val="20"/>
    </w:rPr>
  </w:style>
  <w:style w:type="character" w:customStyle="1" w:styleId="486">
    <w:name w:val="tdog-popup-minimize"/>
    <w:basedOn w:val="44"/>
    <w:qFormat/>
    <w:uiPriority w:val="0"/>
  </w:style>
  <w:style w:type="character" w:customStyle="1" w:styleId="487">
    <w:name w:val="无间隔 Char"/>
    <w:basedOn w:val="44"/>
    <w:qFormat/>
    <w:uiPriority w:val="0"/>
    <w:rPr>
      <w:rFonts w:hint="default" w:ascii="Calibri" w:hAnsi="Calibri" w:cs="Calibri"/>
      <w:sz w:val="22"/>
      <w:szCs w:val="22"/>
    </w:rPr>
  </w:style>
  <w:style w:type="character" w:customStyle="1" w:styleId="488">
    <w:name w:val="标题 字符1"/>
    <w:basedOn w:val="44"/>
    <w:qFormat/>
    <w:uiPriority w:val="0"/>
    <w:rPr>
      <w:rFonts w:hint="default" w:ascii="Cambria" w:hAnsi="Cambria" w:eastAsia="宋体" w:cs="Times New Roman"/>
      <w:color w:val="17365D"/>
      <w:spacing w:val="5"/>
      <w:sz w:val="52"/>
      <w:szCs w:val="52"/>
      <w:lang w:eastAsia="en-US" w:bidi="en-US"/>
    </w:rPr>
  </w:style>
  <w:style w:type="character" w:customStyle="1" w:styleId="489">
    <w:name w:val="副标题 Char1"/>
    <w:basedOn w:val="44"/>
    <w:qFormat/>
    <w:uiPriority w:val="0"/>
    <w:rPr>
      <w:rFonts w:hint="default" w:ascii="Cambria" w:hAnsi="Cambria" w:eastAsia="宋体" w:cs="Times New Roman"/>
      <w:b/>
      <w:sz w:val="32"/>
      <w:szCs w:val="32"/>
    </w:rPr>
  </w:style>
  <w:style w:type="character" w:customStyle="1" w:styleId="490">
    <w:name w:val="日期 字符2"/>
    <w:basedOn w:val="44"/>
    <w:qFormat/>
    <w:uiPriority w:val="0"/>
    <w:rPr>
      <w:rFonts w:hint="eastAsia" w:ascii="宋体" w:hAnsi="宋体" w:eastAsia="宋体" w:cs="宋体"/>
      <w:sz w:val="28"/>
    </w:rPr>
  </w:style>
  <w:style w:type="character" w:customStyle="1" w:styleId="491">
    <w:name w:val="Figure Char"/>
    <w:basedOn w:val="44"/>
    <w:qFormat/>
    <w:uiPriority w:val="0"/>
    <w:rPr>
      <w:sz w:val="24"/>
      <w:szCs w:val="21"/>
    </w:rPr>
  </w:style>
  <w:style w:type="character" w:customStyle="1" w:styleId="492">
    <w:name w:val="标题 5 Char1"/>
    <w:basedOn w:val="44"/>
    <w:qFormat/>
    <w:uiPriority w:val="0"/>
    <w:rPr>
      <w:b/>
      <w:sz w:val="18"/>
    </w:rPr>
  </w:style>
  <w:style w:type="character" w:customStyle="1" w:styleId="493">
    <w:name w:val="列出段落 字符"/>
    <w:basedOn w:val="44"/>
    <w:qFormat/>
    <w:uiPriority w:val="0"/>
    <w:rPr>
      <w:sz w:val="24"/>
      <w:szCs w:val="21"/>
    </w:rPr>
  </w:style>
  <w:style w:type="character" w:customStyle="1" w:styleId="494">
    <w:name w:val="签名 字符2"/>
    <w:basedOn w:val="44"/>
    <w:qFormat/>
    <w:uiPriority w:val="0"/>
    <w:rPr>
      <w:rFonts w:hint="eastAsia" w:ascii="仿宋_GB2312" w:eastAsia="仿宋_GB2312" w:cs="仿宋_GB2312"/>
      <w:sz w:val="24"/>
    </w:rPr>
  </w:style>
  <w:style w:type="character" w:customStyle="1" w:styleId="495">
    <w:name w:val="font101"/>
    <w:basedOn w:val="44"/>
    <w:qFormat/>
    <w:uiPriority w:val="0"/>
    <w:rPr>
      <w:rFonts w:hint="default" w:ascii="Arial" w:hAnsi="Arial" w:cs="Arial"/>
      <w:color w:val="000000"/>
      <w:sz w:val="20"/>
      <w:szCs w:val="20"/>
      <w:u w:val="none"/>
    </w:rPr>
  </w:style>
  <w:style w:type="character" w:customStyle="1" w:styleId="496">
    <w:name w:val="HTML 预设格式 Char"/>
    <w:basedOn w:val="44"/>
    <w:qFormat/>
    <w:uiPriority w:val="0"/>
    <w:rPr>
      <w:rFonts w:hint="eastAsia" w:ascii="宋体" w:hAnsi="宋体" w:eastAsia="宋体" w:cs="宋体"/>
      <w:sz w:val="24"/>
      <w:szCs w:val="24"/>
    </w:rPr>
  </w:style>
  <w:style w:type="character" w:customStyle="1" w:styleId="497">
    <w:name w:val="副标题 字符3"/>
    <w:basedOn w:val="44"/>
    <w:qFormat/>
    <w:uiPriority w:val="0"/>
    <w:rPr>
      <w:rFonts w:hint="eastAsia" w:ascii="等线 Light" w:hAnsi="等线 Light" w:eastAsia="等线 Light" w:cs="Times New Roman"/>
      <w:b/>
      <w:sz w:val="32"/>
      <w:szCs w:val="32"/>
    </w:rPr>
  </w:style>
  <w:style w:type="character" w:customStyle="1" w:styleId="498">
    <w:name w:val="王兴华的论文正文 Char"/>
    <w:basedOn w:val="44"/>
    <w:qFormat/>
    <w:uiPriority w:val="0"/>
    <w:rPr>
      <w:sz w:val="24"/>
      <w:szCs w:val="24"/>
    </w:rPr>
  </w:style>
  <w:style w:type="character" w:customStyle="1" w:styleId="499">
    <w:name w:val="页眉 Char1"/>
    <w:basedOn w:val="44"/>
    <w:qFormat/>
    <w:uiPriority w:val="0"/>
    <w:rPr>
      <w:sz w:val="18"/>
      <w:szCs w:val="18"/>
    </w:rPr>
  </w:style>
  <w:style w:type="character" w:customStyle="1" w:styleId="500">
    <w:name w:val="批注文字 字符3"/>
    <w:basedOn w:val="44"/>
    <w:qFormat/>
    <w:uiPriority w:val="0"/>
    <w:rPr>
      <w:sz w:val="21"/>
    </w:rPr>
  </w:style>
  <w:style w:type="character" w:customStyle="1" w:styleId="501">
    <w:name w:val="标题 字符2"/>
    <w:basedOn w:val="44"/>
    <w:qFormat/>
    <w:uiPriority w:val="0"/>
    <w:rPr>
      <w:rFonts w:hint="default" w:ascii="Cambria" w:hAnsi="Cambria" w:eastAsia="宋体" w:cs="Cambria"/>
      <w:b/>
      <w:sz w:val="32"/>
      <w:szCs w:val="32"/>
      <w:lang w:val="en-US" w:eastAsia="zh-CN" w:bidi="ar"/>
    </w:rPr>
  </w:style>
  <w:style w:type="character" w:customStyle="1" w:styleId="502">
    <w:name w:val="标题4 Char"/>
    <w:basedOn w:val="44"/>
    <w:qFormat/>
    <w:uiPriority w:val="0"/>
    <w:rPr>
      <w:b/>
      <w:sz w:val="24"/>
      <w:szCs w:val="24"/>
    </w:rPr>
  </w:style>
  <w:style w:type="character" w:customStyle="1" w:styleId="503">
    <w:name w:val="正文文本缩进 字符2"/>
    <w:basedOn w:val="44"/>
    <w:qFormat/>
    <w:uiPriority w:val="0"/>
    <w:rPr>
      <w:rFonts w:hint="eastAsia" w:ascii="宋体" w:hAnsi="宋体" w:eastAsia="宋体" w:cs="宋体"/>
      <w:sz w:val="28"/>
    </w:rPr>
  </w:style>
  <w:style w:type="character" w:customStyle="1" w:styleId="504">
    <w:name w:val="页脚 字符2"/>
    <w:basedOn w:val="44"/>
    <w:qFormat/>
    <w:uiPriority w:val="0"/>
    <w:rPr>
      <w:sz w:val="18"/>
    </w:rPr>
  </w:style>
  <w:style w:type="character" w:customStyle="1" w:styleId="505">
    <w:name w:val="页脚 Char1"/>
    <w:basedOn w:val="44"/>
    <w:qFormat/>
    <w:uiPriority w:val="0"/>
    <w:rPr>
      <w:sz w:val="18"/>
      <w:szCs w:val="18"/>
    </w:rPr>
  </w:style>
  <w:style w:type="character" w:customStyle="1" w:styleId="506">
    <w:name w:val="tdog-user-name"/>
    <w:basedOn w:val="44"/>
    <w:qFormat/>
    <w:uiPriority w:val="0"/>
  </w:style>
  <w:style w:type="character" w:customStyle="1" w:styleId="507">
    <w:name w:val="未处理的提及21"/>
    <w:basedOn w:val="44"/>
    <w:qFormat/>
    <w:uiPriority w:val="0"/>
    <w:rPr>
      <w:color w:val="605E5C"/>
      <w:shd w:val="clear" w:color="auto" w:fill="E1DFDD"/>
    </w:rPr>
  </w:style>
  <w:style w:type="character" w:customStyle="1" w:styleId="508">
    <w:name w:val="tdog-info-toolclose"/>
    <w:basedOn w:val="44"/>
    <w:qFormat/>
    <w:uiPriority w:val="0"/>
  </w:style>
  <w:style w:type="character" w:customStyle="1" w:styleId="509">
    <w:name w:val="标题2 Char"/>
    <w:basedOn w:val="44"/>
    <w:qFormat/>
    <w:uiPriority w:val="0"/>
    <w:rPr>
      <w:rFonts w:hint="eastAsia" w:ascii="宋体" w:hAnsi="宋体" w:eastAsia="宋体" w:cs="宋体"/>
      <w:b/>
      <w:sz w:val="28"/>
      <w:szCs w:val="22"/>
    </w:rPr>
  </w:style>
  <w:style w:type="character" w:customStyle="1" w:styleId="510">
    <w:name w:val="List Paragraph Char"/>
    <w:basedOn w:val="44"/>
    <w:qFormat/>
    <w:uiPriority w:val="0"/>
    <w:rPr>
      <w:rFonts w:hint="eastAsia" w:ascii="宋体" w:hAnsi="宋体" w:eastAsia="宋体" w:cs="宋体"/>
      <w:sz w:val="21"/>
      <w:szCs w:val="24"/>
      <w:lang w:bidi="ar"/>
    </w:rPr>
  </w:style>
  <w:style w:type="character" w:customStyle="1" w:styleId="511">
    <w:name w:val="tdog-closebut"/>
    <w:basedOn w:val="44"/>
    <w:qFormat/>
    <w:uiPriority w:val="0"/>
  </w:style>
  <w:style w:type="character" w:customStyle="1" w:styleId="512">
    <w:name w:val="HTML 预设格式 Char2"/>
    <w:basedOn w:val="44"/>
    <w:qFormat/>
    <w:uiPriority w:val="0"/>
    <w:rPr>
      <w:rFonts w:hint="default" w:ascii="Courier New" w:hAnsi="Courier New" w:cs="Courier New"/>
    </w:rPr>
  </w:style>
  <w:style w:type="character" w:customStyle="1" w:styleId="513">
    <w:name w:val="列出段落 字符1"/>
    <w:basedOn w:val="44"/>
    <w:qFormat/>
    <w:uiPriority w:val="0"/>
  </w:style>
  <w:style w:type="character" w:customStyle="1" w:styleId="514">
    <w:name w:val="标题3 Char"/>
    <w:basedOn w:val="44"/>
    <w:qFormat/>
    <w:uiPriority w:val="0"/>
    <w:rPr>
      <w:b/>
      <w:sz w:val="28"/>
      <w:szCs w:val="44"/>
    </w:rPr>
  </w:style>
  <w:style w:type="character" w:customStyle="1" w:styleId="515">
    <w:name w:val="HTML 预设格式 字符1"/>
    <w:basedOn w:val="44"/>
    <w:qFormat/>
    <w:uiPriority w:val="0"/>
    <w:rPr>
      <w:rFonts w:hint="eastAsia" w:ascii="宋体" w:hAnsi="宋体" w:eastAsia="宋体" w:cs="宋体"/>
      <w:sz w:val="24"/>
      <w:szCs w:val="24"/>
    </w:rPr>
  </w:style>
  <w:style w:type="character" w:customStyle="1" w:styleId="516">
    <w:name w:val="tdog-popup-talkbar-clear"/>
    <w:basedOn w:val="44"/>
    <w:qFormat/>
    <w:uiPriority w:val="0"/>
  </w:style>
  <w:style w:type="character" w:customStyle="1" w:styleId="517">
    <w:name w:val="表 字符"/>
    <w:basedOn w:val="44"/>
    <w:qFormat/>
    <w:uiPriority w:val="0"/>
    <w:rPr>
      <w:sz w:val="24"/>
      <w:szCs w:val="24"/>
    </w:rPr>
  </w:style>
  <w:style w:type="character" w:customStyle="1" w:styleId="518">
    <w:name w:val="tdog-info-toolopen"/>
    <w:basedOn w:val="44"/>
    <w:qFormat/>
    <w:uiPriority w:val="0"/>
  </w:style>
  <w:style w:type="character" w:customStyle="1" w:styleId="519">
    <w:name w:val="Plain Text Char"/>
    <w:basedOn w:val="44"/>
    <w:qFormat/>
    <w:uiPriority w:val="0"/>
    <w:rPr>
      <w:rFonts w:hint="eastAsia" w:ascii="宋体" w:hAnsi="Courier New" w:eastAsia="楷体_GB2312" w:cs="宋体"/>
      <w:sz w:val="26"/>
    </w:rPr>
  </w:style>
  <w:style w:type="character" w:customStyle="1" w:styleId="520">
    <w:name w:val="批注框文本 Char1"/>
    <w:basedOn w:val="44"/>
    <w:qFormat/>
    <w:uiPriority w:val="0"/>
    <w:rPr>
      <w:sz w:val="18"/>
      <w:szCs w:val="18"/>
    </w:rPr>
  </w:style>
  <w:style w:type="character" w:customStyle="1" w:styleId="521">
    <w:name w:val="无间隔 字符"/>
    <w:basedOn w:val="44"/>
    <w:qFormat/>
    <w:uiPriority w:val="0"/>
    <w:rPr>
      <w:rFonts w:hint="default" w:ascii="Calibri" w:hAnsi="Calibri" w:cs="Calibri"/>
      <w:sz w:val="24"/>
      <w:szCs w:val="22"/>
    </w:rPr>
  </w:style>
  <w:style w:type="character" w:customStyle="1" w:styleId="522">
    <w:name w:val="明显强调1"/>
    <w:basedOn w:val="44"/>
    <w:qFormat/>
    <w:uiPriority w:val="0"/>
    <w:rPr>
      <w:i/>
      <w:color w:val="5B9BD5"/>
    </w:rPr>
  </w:style>
  <w:style w:type="character" w:customStyle="1" w:styleId="523">
    <w:name w:val="列出段落 字符2"/>
    <w:basedOn w:val="44"/>
    <w:qFormat/>
    <w:uiPriority w:val="0"/>
    <w:rPr>
      <w:sz w:val="24"/>
      <w:szCs w:val="21"/>
    </w:rPr>
  </w:style>
  <w:style w:type="character" w:customStyle="1" w:styleId="524">
    <w:name w:val="纯文本 字符2"/>
    <w:basedOn w:val="44"/>
    <w:qFormat/>
    <w:uiPriority w:val="0"/>
    <w:rPr>
      <w:rFonts w:hint="eastAsia" w:ascii="宋体" w:hAnsi="Courier New" w:eastAsia="宋体" w:cs="宋体"/>
      <w:sz w:val="21"/>
    </w:rPr>
  </w:style>
  <w:style w:type="character" w:customStyle="1" w:styleId="525">
    <w:name w:val="不明显强调1"/>
    <w:basedOn w:val="44"/>
    <w:qFormat/>
    <w:uiPriority w:val="0"/>
    <w:rPr>
      <w:i/>
      <w:color w:val="404040"/>
    </w:rPr>
  </w:style>
  <w:style w:type="character" w:customStyle="1" w:styleId="526">
    <w:name w:val="日期 字符3"/>
    <w:basedOn w:val="44"/>
    <w:qFormat/>
    <w:uiPriority w:val="0"/>
    <w:rPr>
      <w:rFonts w:hint="eastAsia" w:ascii="宋体" w:hAnsi="宋体" w:eastAsia="宋体" w:cs="宋体"/>
      <w:sz w:val="28"/>
    </w:rPr>
  </w:style>
  <w:style w:type="character" w:customStyle="1" w:styleId="527">
    <w:name w:val="批注框文本 字符3"/>
    <w:basedOn w:val="44"/>
    <w:qFormat/>
    <w:uiPriority w:val="0"/>
    <w:rPr>
      <w:sz w:val="18"/>
      <w:szCs w:val="18"/>
    </w:rPr>
  </w:style>
  <w:style w:type="character" w:customStyle="1" w:styleId="528">
    <w:name w:val="HTML 预设格式 字符4"/>
    <w:basedOn w:val="44"/>
    <w:qFormat/>
    <w:uiPriority w:val="0"/>
    <w:rPr>
      <w:rFonts w:hint="default" w:ascii="Arial" w:hAnsi="Arial" w:cs="Arial"/>
      <w:sz w:val="24"/>
      <w:szCs w:val="24"/>
    </w:rPr>
  </w:style>
  <w:style w:type="character" w:customStyle="1" w:styleId="529">
    <w:name w:val="列出段落 Char1"/>
    <w:basedOn w:val="44"/>
    <w:qFormat/>
    <w:uiPriority w:val="0"/>
    <w:rPr>
      <w:rFonts w:hint="default" w:ascii="Calibri" w:hAnsi="Calibri" w:cs="Calibri"/>
      <w:sz w:val="24"/>
    </w:rPr>
  </w:style>
  <w:style w:type="paragraph" w:customStyle="1" w:styleId="530">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531">
    <w:name w:val="修订2"/>
    <w:hidden/>
    <w:unhideWhenUsed/>
    <w:qFormat/>
    <w:uiPriority w:val="99"/>
    <w:rPr>
      <w:rFonts w:hint="default" w:ascii="Calibri" w:hAnsi="Calibri" w:eastAsia="宋体" w:cs="Times New Roman"/>
      <w:sz w:val="21"/>
      <w:szCs w:val="22"/>
      <w:lang w:val="en-US" w:eastAsia="zh-CN" w:bidi="ar-SA"/>
    </w:rPr>
  </w:style>
  <w:style w:type="paragraph" w:customStyle="1" w:styleId="532">
    <w:name w:val="段落正文"/>
    <w:basedOn w:val="1"/>
    <w:qFormat/>
    <w:uiPriority w:val="0"/>
    <w:pPr>
      <w:spacing w:line="360" w:lineRule="auto"/>
      <w:ind w:firstLine="200"/>
    </w:pPr>
    <w:rPr>
      <w:rFonts w:ascii="Times New Roman" w:hAnsi="Times New Roman" w:cs="宋体"/>
      <w:sz w:val="24"/>
      <w:szCs w:val="24"/>
    </w:rPr>
  </w:style>
  <w:style w:type="paragraph" w:customStyle="1" w:styleId="533">
    <w:name w:val="修订3"/>
    <w:hidden/>
    <w:semiHidden/>
    <w:qFormat/>
    <w:uiPriority w:val="99"/>
    <w:rPr>
      <w:rFonts w:hint="default" w:ascii="Calibri" w:hAnsi="Calibri" w:eastAsia="宋体" w:cs="Times New Roman"/>
      <w:sz w:val="21"/>
      <w:szCs w:val="22"/>
      <w:lang w:val="en-US" w:eastAsia="zh-CN" w:bidi="ar-SA"/>
    </w:rPr>
  </w:style>
  <w:style w:type="paragraph" w:customStyle="1" w:styleId="534">
    <w:name w:val="修订4"/>
    <w:hidden/>
    <w:semiHidden/>
    <w:qFormat/>
    <w:uiPriority w:val="99"/>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17951</Words>
  <Characters>19037</Characters>
  <TotalTime>2</TotalTime>
  <ScaleCrop>false</ScaleCrop>
  <LinksUpToDate>false</LinksUpToDate>
  <CharactersWithSpaces>19783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2025-11-11T02:39:00Z</dcterms:created>
  <dc:creator>zhanghuan05</dc:creator>
  <cp:lastModifiedBy>ADMIN</cp:lastModifiedBy>
  <dcterms:modified xsi:type="dcterms:W3CDTF">2025-12-03T15:05:37Z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964729263DF344019503EC3945520CBD_13</vt:lpwstr>
  </property>
  <property fmtid="{D5CDD505-2E9C-101B-9397-08002B2CF9AE}" pid="4" name="KSOTemplateDocerSaveRecord">
    <vt:lpwstr>eyJoZGlkIjoiOTk3MTdjNThmYmFiMzk4YzUzYmQxMjY2N2VlNjk0MTYiLCJ1c2VySWQiOiI0NzA0Njk1MDUifQ==</vt:lpwstr>
  </property>
</Properties>
</file>